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E2658" w14:textId="5A3D44BA" w:rsidR="00B86D59" w:rsidRPr="0043044E" w:rsidRDefault="00C52367" w:rsidP="00B86D5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3044E">
        <w:rPr>
          <w:rFonts w:ascii="Times New Roman" w:eastAsia="Calibri" w:hAnsi="Times New Roman" w:cs="Times New Roman"/>
          <w:b/>
          <w:sz w:val="28"/>
          <w:szCs w:val="28"/>
        </w:rPr>
        <w:t>Информационная справка по вопросу</w:t>
      </w:r>
    </w:p>
    <w:p w14:paraId="00A66EBF" w14:textId="16638DDB" w:rsidR="00C52367" w:rsidRPr="0043044E" w:rsidRDefault="00C52367" w:rsidP="00B86D5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12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3044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«</w:t>
      </w:r>
      <w:r w:rsidR="00A360FE" w:rsidRPr="0043044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</w:t>
      </w:r>
      <w:r w:rsidR="00240594" w:rsidRPr="0043044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результатах </w:t>
      </w:r>
      <w:r w:rsidRPr="0043044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деятельности</w:t>
      </w:r>
      <w:r w:rsidR="00B86D59" w:rsidRPr="0043044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B86D59" w:rsidRPr="0043044E">
        <w:rPr>
          <w:rFonts w:ascii="Times New Roman" w:eastAsia="Calibri" w:hAnsi="Times New Roman" w:cs="Times New Roman"/>
          <w:b/>
          <w:color w:val="231F20"/>
          <w:sz w:val="28"/>
          <w:szCs w:val="28"/>
        </w:rPr>
        <w:t>Фонд</w:t>
      </w:r>
      <w:r w:rsidR="00240594" w:rsidRPr="0043044E">
        <w:rPr>
          <w:rFonts w:ascii="Times New Roman" w:eastAsia="Calibri" w:hAnsi="Times New Roman" w:cs="Times New Roman"/>
          <w:b/>
          <w:color w:val="231F20"/>
          <w:sz w:val="28"/>
          <w:szCs w:val="28"/>
        </w:rPr>
        <w:t>а</w:t>
      </w:r>
      <w:r w:rsidR="00B86D59" w:rsidRPr="0043044E">
        <w:rPr>
          <w:rFonts w:ascii="Times New Roman" w:eastAsia="Calibri" w:hAnsi="Times New Roman" w:cs="Times New Roman"/>
          <w:b/>
          <w:color w:val="231F20"/>
          <w:sz w:val="28"/>
          <w:szCs w:val="28"/>
        </w:rPr>
        <w:t xml:space="preserve"> развития Югры </w:t>
      </w:r>
      <w:r w:rsidR="008549EB" w:rsidRPr="0043044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 20</w:t>
      </w:r>
      <w:r w:rsidR="00690E4B" w:rsidRPr="0043044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</w:t>
      </w:r>
      <w:r w:rsidR="004C7BFE" w:rsidRPr="0043044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</w:t>
      </w:r>
      <w:r w:rsidRPr="0043044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год</w:t>
      </w:r>
      <w:r w:rsidR="00A360FE" w:rsidRPr="0043044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14:paraId="272596DF" w14:textId="40B4910A" w:rsidR="00655350" w:rsidRPr="0043044E" w:rsidRDefault="00655350" w:rsidP="00D05BEC">
      <w:pPr>
        <w:spacing w:after="12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0E5DDD" w14:textId="798D5992" w:rsidR="00F743D4" w:rsidRPr="0043044E" w:rsidRDefault="00F743D4" w:rsidP="00DA297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3044E">
        <w:rPr>
          <w:rFonts w:ascii="Times New Roman" w:hAnsi="Times New Roman" w:cs="Times New Roman"/>
          <w:b/>
          <w:sz w:val="28"/>
          <w:szCs w:val="28"/>
        </w:rPr>
        <w:t>Основные направления деятельности</w:t>
      </w:r>
      <w:r w:rsidR="00240594" w:rsidRPr="0043044E">
        <w:rPr>
          <w:rFonts w:ascii="Times New Roman" w:hAnsi="Times New Roman" w:cs="Times New Roman"/>
          <w:b/>
          <w:sz w:val="28"/>
          <w:szCs w:val="28"/>
        </w:rPr>
        <w:t xml:space="preserve"> (компетенции) Фонда</w:t>
      </w:r>
      <w:r w:rsidR="004219F7" w:rsidRPr="0043044E">
        <w:rPr>
          <w:rFonts w:ascii="Times New Roman" w:hAnsi="Times New Roman" w:cs="Times New Roman"/>
          <w:b/>
          <w:sz w:val="28"/>
          <w:szCs w:val="28"/>
        </w:rPr>
        <w:t>:</w:t>
      </w:r>
      <w:r w:rsidRPr="004304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1E0B569" w14:textId="41680058" w:rsidR="00BA17C5" w:rsidRPr="0043044E" w:rsidRDefault="00BA17C5" w:rsidP="00793F19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firstLine="41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044E">
        <w:rPr>
          <w:rFonts w:ascii="Times New Roman" w:hAnsi="Times New Roman" w:cs="Times New Roman"/>
          <w:bCs/>
          <w:sz w:val="28"/>
          <w:szCs w:val="28"/>
        </w:rPr>
        <w:t>Реализация промышленной политики автономного округа. Сопровождени</w:t>
      </w:r>
      <w:r w:rsidR="00793F19">
        <w:rPr>
          <w:rFonts w:ascii="Times New Roman" w:hAnsi="Times New Roman" w:cs="Times New Roman"/>
          <w:bCs/>
          <w:sz w:val="28"/>
          <w:szCs w:val="28"/>
        </w:rPr>
        <w:t>е</w:t>
      </w:r>
      <w:r w:rsidRPr="0043044E">
        <w:rPr>
          <w:rFonts w:ascii="Times New Roman" w:hAnsi="Times New Roman" w:cs="Times New Roman"/>
          <w:bCs/>
          <w:sz w:val="28"/>
          <w:szCs w:val="28"/>
        </w:rPr>
        <w:t xml:space="preserve"> инвестиционных проектов;</w:t>
      </w:r>
    </w:p>
    <w:p w14:paraId="7375B0BA" w14:textId="4DE2077C" w:rsidR="00BA17C5" w:rsidRPr="0043044E" w:rsidRDefault="00BA17C5" w:rsidP="00793F19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firstLine="41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04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044E">
        <w:rPr>
          <w:rFonts w:ascii="Times New Roman" w:hAnsi="Times New Roman" w:cs="Times New Roman"/>
          <w:bCs/>
          <w:iCs/>
          <w:sz w:val="28"/>
          <w:szCs w:val="28"/>
        </w:rPr>
        <w:t>Создание инфраструктурных объектов на принципах государственно-частного партнерства;</w:t>
      </w:r>
    </w:p>
    <w:p w14:paraId="216BB0DC" w14:textId="168041A1" w:rsidR="00BA17C5" w:rsidRPr="0043044E" w:rsidRDefault="00BA17C5" w:rsidP="00793F19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firstLine="41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044E">
        <w:rPr>
          <w:rFonts w:ascii="Times New Roman" w:hAnsi="Times New Roman" w:cs="Times New Roman"/>
          <w:bCs/>
          <w:sz w:val="28"/>
          <w:szCs w:val="28"/>
        </w:rPr>
        <w:t>Региональный фонд развития промышленности;</w:t>
      </w:r>
    </w:p>
    <w:p w14:paraId="083BB8A2" w14:textId="07B34A4B" w:rsidR="00BA17C5" w:rsidRPr="0043044E" w:rsidRDefault="00BA17C5" w:rsidP="00793F19">
      <w:pPr>
        <w:pStyle w:val="a3"/>
        <w:numPr>
          <w:ilvl w:val="0"/>
          <w:numId w:val="2"/>
        </w:numPr>
        <w:tabs>
          <w:tab w:val="left" w:pos="1134"/>
        </w:tabs>
        <w:spacing w:after="12" w:line="360" w:lineRule="auto"/>
        <w:ind w:firstLine="41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044E">
        <w:rPr>
          <w:rFonts w:ascii="Times New Roman" w:hAnsi="Times New Roman" w:cs="Times New Roman"/>
          <w:bCs/>
          <w:iCs/>
          <w:sz w:val="28"/>
          <w:szCs w:val="28"/>
        </w:rPr>
        <w:t>Инвестиционное продвижение автономного округа, взаимодействие со СМИ;</w:t>
      </w:r>
    </w:p>
    <w:p w14:paraId="0435DEB7" w14:textId="6111026C" w:rsidR="00BA17C5" w:rsidRPr="0043044E" w:rsidRDefault="00BA17C5" w:rsidP="00793F19">
      <w:pPr>
        <w:pStyle w:val="a3"/>
        <w:numPr>
          <w:ilvl w:val="0"/>
          <w:numId w:val="2"/>
        </w:numPr>
        <w:tabs>
          <w:tab w:val="left" w:pos="1134"/>
        </w:tabs>
        <w:spacing w:after="12" w:line="360" w:lineRule="auto"/>
        <w:ind w:firstLine="41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044E">
        <w:rPr>
          <w:rFonts w:ascii="Times New Roman" w:hAnsi="Times New Roman" w:cs="Times New Roman"/>
          <w:bCs/>
          <w:sz w:val="28"/>
          <w:szCs w:val="28"/>
        </w:rPr>
        <w:t>Центр компетенции в сфере туризма;</w:t>
      </w:r>
    </w:p>
    <w:p w14:paraId="6496DD12" w14:textId="3A9F9955" w:rsidR="00BA17C5" w:rsidRPr="0043044E" w:rsidRDefault="00BA17C5" w:rsidP="00793F19">
      <w:pPr>
        <w:pStyle w:val="a3"/>
        <w:numPr>
          <w:ilvl w:val="0"/>
          <w:numId w:val="2"/>
        </w:numPr>
        <w:tabs>
          <w:tab w:val="left" w:pos="1134"/>
        </w:tabs>
        <w:spacing w:after="12" w:line="360" w:lineRule="auto"/>
        <w:ind w:firstLine="41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044E">
        <w:rPr>
          <w:rFonts w:ascii="Times New Roman" w:hAnsi="Times New Roman" w:cs="Times New Roman"/>
          <w:bCs/>
          <w:sz w:val="28"/>
          <w:szCs w:val="28"/>
        </w:rPr>
        <w:t>Развитие сельскохозяйственной кооперации и поддержка фермеров;</w:t>
      </w:r>
    </w:p>
    <w:p w14:paraId="0DE1AF43" w14:textId="58EADF4B" w:rsidR="00A72186" w:rsidRPr="0043044E" w:rsidRDefault="008314E8" w:rsidP="00793F19">
      <w:pPr>
        <w:pStyle w:val="a3"/>
        <w:numPr>
          <w:ilvl w:val="0"/>
          <w:numId w:val="2"/>
        </w:numPr>
        <w:tabs>
          <w:tab w:val="left" w:pos="1134"/>
        </w:tabs>
        <w:spacing w:after="12" w:line="360" w:lineRule="auto"/>
        <w:ind w:firstLine="414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3044E">
        <w:rPr>
          <w:rFonts w:ascii="Times New Roman" w:hAnsi="Times New Roman" w:cs="Times New Roman"/>
          <w:sz w:val="28"/>
          <w:szCs w:val="28"/>
        </w:rPr>
        <w:t>Центр обучения и развития</w:t>
      </w:r>
      <w:r w:rsidR="008843D2" w:rsidRPr="0043044E">
        <w:rPr>
          <w:rFonts w:ascii="Times New Roman" w:hAnsi="Times New Roman" w:cs="Times New Roman"/>
          <w:sz w:val="28"/>
          <w:szCs w:val="28"/>
        </w:rPr>
        <w:t>.</w:t>
      </w:r>
    </w:p>
    <w:p w14:paraId="4585263A" w14:textId="77777777" w:rsidR="008843D2" w:rsidRPr="0043044E" w:rsidRDefault="008843D2" w:rsidP="008843D2">
      <w:pPr>
        <w:pStyle w:val="a3"/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04E1F40" w14:textId="4A8BD2D6" w:rsidR="00240594" w:rsidRPr="0043044E" w:rsidRDefault="00535310" w:rsidP="0024059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44E">
        <w:rPr>
          <w:rFonts w:ascii="Times New Roman" w:hAnsi="Times New Roman" w:cs="Times New Roman"/>
          <w:b/>
          <w:sz w:val="28"/>
          <w:szCs w:val="28"/>
        </w:rPr>
        <w:t>Реализация промышленной политики автономного округа.</w:t>
      </w:r>
      <w:r w:rsidR="00240594" w:rsidRPr="004304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044E">
        <w:rPr>
          <w:rFonts w:ascii="Times New Roman" w:hAnsi="Times New Roman" w:cs="Times New Roman"/>
          <w:b/>
          <w:sz w:val="28"/>
          <w:szCs w:val="28"/>
        </w:rPr>
        <w:t>С</w:t>
      </w:r>
      <w:r w:rsidR="00240594" w:rsidRPr="0043044E">
        <w:rPr>
          <w:rFonts w:ascii="Times New Roman" w:hAnsi="Times New Roman" w:cs="Times New Roman"/>
          <w:b/>
          <w:sz w:val="28"/>
          <w:szCs w:val="28"/>
        </w:rPr>
        <w:t>опровождени</w:t>
      </w:r>
      <w:r w:rsidR="00870B63" w:rsidRPr="0043044E">
        <w:rPr>
          <w:rFonts w:ascii="Times New Roman" w:hAnsi="Times New Roman" w:cs="Times New Roman"/>
          <w:b/>
          <w:sz w:val="28"/>
          <w:szCs w:val="28"/>
        </w:rPr>
        <w:t>е</w:t>
      </w:r>
      <w:r w:rsidR="00240594" w:rsidRPr="0043044E">
        <w:rPr>
          <w:rFonts w:ascii="Times New Roman" w:hAnsi="Times New Roman" w:cs="Times New Roman"/>
          <w:b/>
          <w:sz w:val="28"/>
          <w:szCs w:val="28"/>
        </w:rPr>
        <w:t xml:space="preserve"> инвестиционных проектов. </w:t>
      </w:r>
    </w:p>
    <w:p w14:paraId="1A7E8915" w14:textId="33236CED" w:rsidR="00793F19" w:rsidRPr="00F925D7" w:rsidRDefault="00793F19" w:rsidP="002405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5D7">
        <w:rPr>
          <w:rFonts w:ascii="Times New Roman" w:hAnsi="Times New Roman" w:cs="Times New Roman"/>
          <w:sz w:val="28"/>
          <w:szCs w:val="28"/>
        </w:rPr>
        <w:t>Общий портфель</w:t>
      </w:r>
      <w:r w:rsidR="00F925D7" w:rsidRPr="00F925D7">
        <w:rPr>
          <w:rFonts w:ascii="Times New Roman" w:hAnsi="Times New Roman" w:cs="Times New Roman"/>
          <w:sz w:val="28"/>
          <w:szCs w:val="28"/>
        </w:rPr>
        <w:t xml:space="preserve"> 105 проектов, объемом инвестиций 113 млрд. рублей</w:t>
      </w:r>
    </w:p>
    <w:p w14:paraId="79BF97C0" w14:textId="468ED780" w:rsidR="00876226" w:rsidRPr="0043044E" w:rsidRDefault="00793F19" w:rsidP="0024059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25D7">
        <w:rPr>
          <w:rFonts w:ascii="Times New Roman" w:hAnsi="Times New Roman" w:cs="Times New Roman"/>
          <w:sz w:val="28"/>
          <w:szCs w:val="28"/>
        </w:rPr>
        <w:t>В том числе по регламенту 590-п</w:t>
      </w:r>
      <w:r w:rsidR="003654C7" w:rsidRPr="00F925D7">
        <w:rPr>
          <w:rFonts w:ascii="Times New Roman" w:hAnsi="Times New Roman" w:cs="Times New Roman"/>
          <w:sz w:val="28"/>
          <w:szCs w:val="28"/>
        </w:rPr>
        <w:t xml:space="preserve"> на сопровождении</w:t>
      </w:r>
      <w:r w:rsidR="003654C7" w:rsidRPr="0043044E">
        <w:rPr>
          <w:rFonts w:ascii="Times New Roman" w:hAnsi="Times New Roman" w:cs="Times New Roman"/>
          <w:sz w:val="28"/>
          <w:szCs w:val="28"/>
        </w:rPr>
        <w:t xml:space="preserve"> </w:t>
      </w:r>
      <w:r w:rsidR="00991F1C" w:rsidRPr="0043044E">
        <w:rPr>
          <w:rFonts w:ascii="Times New Roman" w:hAnsi="Times New Roman" w:cs="Times New Roman"/>
          <w:sz w:val="28"/>
          <w:szCs w:val="28"/>
        </w:rPr>
        <w:t>2</w:t>
      </w:r>
      <w:r w:rsidR="00677484" w:rsidRPr="0043044E">
        <w:rPr>
          <w:rFonts w:ascii="Times New Roman" w:hAnsi="Times New Roman" w:cs="Times New Roman"/>
          <w:sz w:val="28"/>
          <w:szCs w:val="28"/>
        </w:rPr>
        <w:t>8</w:t>
      </w:r>
      <w:r w:rsidR="003654C7" w:rsidRPr="0043044E">
        <w:rPr>
          <w:rFonts w:ascii="Times New Roman" w:hAnsi="Times New Roman" w:cs="Times New Roman"/>
          <w:sz w:val="28"/>
          <w:szCs w:val="28"/>
        </w:rPr>
        <w:t xml:space="preserve"> проектов по принципу «одного окна»</w:t>
      </w:r>
      <w:r w:rsidR="00991F1C" w:rsidRPr="0043044E">
        <w:rPr>
          <w:rFonts w:ascii="Times New Roman" w:hAnsi="Times New Roman" w:cs="Times New Roman"/>
          <w:sz w:val="28"/>
          <w:szCs w:val="28"/>
        </w:rPr>
        <w:t xml:space="preserve">, объемом инвестиций </w:t>
      </w:r>
      <w:r w:rsidR="00677484" w:rsidRPr="0043044E">
        <w:rPr>
          <w:rFonts w:ascii="Times New Roman" w:hAnsi="Times New Roman" w:cs="Times New Roman"/>
          <w:sz w:val="28"/>
          <w:szCs w:val="28"/>
        </w:rPr>
        <w:t>35</w:t>
      </w:r>
      <w:r w:rsidR="00991F1C" w:rsidRPr="0043044E">
        <w:rPr>
          <w:rFonts w:ascii="Times New Roman" w:hAnsi="Times New Roman" w:cs="Times New Roman"/>
          <w:sz w:val="28"/>
          <w:szCs w:val="28"/>
        </w:rPr>
        <w:t xml:space="preserve"> млрд. рублей</w:t>
      </w:r>
      <w:r w:rsidR="003654C7" w:rsidRPr="0043044E">
        <w:rPr>
          <w:rFonts w:ascii="Times New Roman" w:hAnsi="Times New Roman" w:cs="Times New Roman"/>
          <w:sz w:val="28"/>
          <w:szCs w:val="28"/>
        </w:rPr>
        <w:t>. В 202</w:t>
      </w:r>
      <w:r w:rsidR="00677484" w:rsidRPr="0043044E">
        <w:rPr>
          <w:rFonts w:ascii="Times New Roman" w:hAnsi="Times New Roman" w:cs="Times New Roman"/>
          <w:sz w:val="28"/>
          <w:szCs w:val="28"/>
        </w:rPr>
        <w:t>3</w:t>
      </w:r>
      <w:r w:rsidR="003654C7" w:rsidRPr="0043044E">
        <w:rPr>
          <w:rFonts w:ascii="Times New Roman" w:hAnsi="Times New Roman" w:cs="Times New Roman"/>
          <w:sz w:val="28"/>
          <w:szCs w:val="28"/>
        </w:rPr>
        <w:t xml:space="preserve"> году з</w:t>
      </w:r>
      <w:r w:rsidR="00876226" w:rsidRPr="0043044E">
        <w:rPr>
          <w:rFonts w:ascii="Times New Roman" w:hAnsi="Times New Roman" w:cs="Times New Roman"/>
          <w:sz w:val="28"/>
          <w:szCs w:val="28"/>
        </w:rPr>
        <w:t>аключен</w:t>
      </w:r>
      <w:r w:rsidR="00D84812" w:rsidRPr="0043044E">
        <w:rPr>
          <w:rFonts w:ascii="Times New Roman" w:hAnsi="Times New Roman" w:cs="Times New Roman"/>
          <w:sz w:val="28"/>
          <w:szCs w:val="28"/>
        </w:rPr>
        <w:t>ы</w:t>
      </w:r>
      <w:r w:rsidR="00876226" w:rsidRPr="0043044E">
        <w:rPr>
          <w:rFonts w:ascii="Times New Roman" w:hAnsi="Times New Roman" w:cs="Times New Roman"/>
          <w:sz w:val="28"/>
          <w:szCs w:val="28"/>
        </w:rPr>
        <w:t xml:space="preserve"> </w:t>
      </w:r>
      <w:r w:rsidR="00677484" w:rsidRPr="0043044E">
        <w:rPr>
          <w:rFonts w:ascii="Times New Roman" w:hAnsi="Times New Roman" w:cs="Times New Roman"/>
          <w:sz w:val="28"/>
          <w:szCs w:val="28"/>
        </w:rPr>
        <w:t>6</w:t>
      </w:r>
      <w:r w:rsidR="00876226" w:rsidRPr="0043044E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677484" w:rsidRPr="0043044E">
        <w:rPr>
          <w:rFonts w:ascii="Times New Roman" w:hAnsi="Times New Roman" w:cs="Times New Roman"/>
          <w:sz w:val="28"/>
          <w:szCs w:val="28"/>
        </w:rPr>
        <w:t>й</w:t>
      </w:r>
      <w:r w:rsidR="003654C7" w:rsidRPr="0043044E">
        <w:rPr>
          <w:rFonts w:ascii="Times New Roman" w:hAnsi="Times New Roman" w:cs="Times New Roman"/>
          <w:sz w:val="28"/>
          <w:szCs w:val="28"/>
        </w:rPr>
        <w:t>.</w:t>
      </w:r>
      <w:r w:rsidR="00876226" w:rsidRPr="0043044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CAF272" w14:textId="5E2BF645" w:rsidR="00D84812" w:rsidRPr="0043044E" w:rsidRDefault="003654C7" w:rsidP="00022177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44E">
        <w:rPr>
          <w:rFonts w:ascii="Times New Roman" w:hAnsi="Times New Roman" w:cs="Times New Roman"/>
          <w:sz w:val="28"/>
          <w:szCs w:val="28"/>
        </w:rPr>
        <w:tab/>
        <w:t>На постоянной основе осуществляется информационно-консультационное сопровождение и содействие в реализации инвестиционных проектов посредством телефонных звонков, обращений по электронной почте, рабочих встреч (в том числе в режиме ВКС).</w:t>
      </w:r>
    </w:p>
    <w:p w14:paraId="1B5A36EA" w14:textId="77777777" w:rsidR="0023649E" w:rsidRDefault="00240594" w:rsidP="00D84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44E">
        <w:rPr>
          <w:rFonts w:ascii="Times New Roman" w:hAnsi="Times New Roman" w:cs="Times New Roman"/>
          <w:sz w:val="28"/>
          <w:szCs w:val="28"/>
        </w:rPr>
        <w:t>На постоянной основе осуществляется содействие инвесторам в поиске</w:t>
      </w:r>
      <w:r w:rsidR="00DB463E" w:rsidRPr="0043044E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3654C7" w:rsidRPr="0043044E">
        <w:rPr>
          <w:rFonts w:ascii="Times New Roman" w:hAnsi="Times New Roman" w:cs="Times New Roman"/>
          <w:sz w:val="28"/>
          <w:szCs w:val="28"/>
        </w:rPr>
        <w:t>ых</w:t>
      </w:r>
      <w:r w:rsidR="00DB463E" w:rsidRPr="0043044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654C7" w:rsidRPr="0043044E">
        <w:rPr>
          <w:rFonts w:ascii="Times New Roman" w:hAnsi="Times New Roman" w:cs="Times New Roman"/>
          <w:sz w:val="28"/>
          <w:szCs w:val="28"/>
        </w:rPr>
        <w:t>ов</w:t>
      </w:r>
      <w:r w:rsidR="00DB463E" w:rsidRPr="0043044E">
        <w:rPr>
          <w:rFonts w:ascii="Times New Roman" w:hAnsi="Times New Roman" w:cs="Times New Roman"/>
          <w:sz w:val="28"/>
          <w:szCs w:val="28"/>
        </w:rPr>
        <w:t xml:space="preserve"> для</w:t>
      </w:r>
      <w:r w:rsidR="003654C7" w:rsidRPr="0043044E">
        <w:rPr>
          <w:rFonts w:ascii="Times New Roman" w:hAnsi="Times New Roman" w:cs="Times New Roman"/>
          <w:sz w:val="28"/>
          <w:szCs w:val="28"/>
        </w:rPr>
        <w:t xml:space="preserve"> инвесторов</w:t>
      </w:r>
      <w:r w:rsidRPr="0043044E">
        <w:rPr>
          <w:rFonts w:ascii="Times New Roman" w:hAnsi="Times New Roman" w:cs="Times New Roman"/>
          <w:sz w:val="28"/>
          <w:szCs w:val="28"/>
        </w:rPr>
        <w:t>, планирующих реализацию инвестиционных проектов на территории Югры</w:t>
      </w:r>
      <w:r w:rsidR="003654C7" w:rsidRPr="0043044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A5A400" w14:textId="1D4B4539" w:rsidR="0023649E" w:rsidRPr="00347E12" w:rsidRDefault="003654C7" w:rsidP="0023649E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3044E">
        <w:rPr>
          <w:rFonts w:ascii="Times New Roman" w:hAnsi="Times New Roman" w:cs="Times New Roman"/>
          <w:sz w:val="28"/>
          <w:szCs w:val="28"/>
        </w:rPr>
        <w:t>В 202</w:t>
      </w:r>
      <w:r w:rsidR="00677484" w:rsidRPr="0043044E">
        <w:rPr>
          <w:rFonts w:ascii="Times New Roman" w:hAnsi="Times New Roman" w:cs="Times New Roman"/>
          <w:sz w:val="28"/>
          <w:szCs w:val="28"/>
        </w:rPr>
        <w:t>3</w:t>
      </w:r>
      <w:r w:rsidRPr="0043044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3649E">
        <w:rPr>
          <w:rFonts w:ascii="Times New Roman" w:hAnsi="Times New Roman" w:cs="Times New Roman"/>
          <w:sz w:val="28"/>
          <w:szCs w:val="28"/>
        </w:rPr>
        <w:t>п</w:t>
      </w:r>
      <w:r w:rsidR="0023649E" w:rsidRPr="00347E12">
        <w:rPr>
          <w:rFonts w:ascii="Times New Roman" w:hAnsi="Times New Roman"/>
          <w:sz w:val="28"/>
          <w:szCs w:val="28"/>
        </w:rPr>
        <w:t>редоставлена консультационная поддержка ООО «УК «Промышленный технопарк «СИРИУС Б»</w:t>
      </w:r>
      <w:r w:rsidR="0023649E">
        <w:rPr>
          <w:rFonts w:ascii="Times New Roman" w:hAnsi="Times New Roman"/>
          <w:sz w:val="28"/>
          <w:szCs w:val="28"/>
        </w:rPr>
        <w:t xml:space="preserve"> </w:t>
      </w:r>
      <w:r w:rsidR="0023649E" w:rsidRPr="00347E12">
        <w:rPr>
          <w:rFonts w:ascii="Times New Roman" w:hAnsi="Times New Roman"/>
          <w:sz w:val="28"/>
          <w:szCs w:val="28"/>
        </w:rPr>
        <w:t xml:space="preserve">при подготовке документов для </w:t>
      </w:r>
      <w:r w:rsidR="0023649E" w:rsidRPr="00347E12">
        <w:rPr>
          <w:rFonts w:ascii="Times New Roman" w:hAnsi="Times New Roman"/>
          <w:sz w:val="28"/>
          <w:szCs w:val="28"/>
        </w:rPr>
        <w:lastRenderedPageBreak/>
        <w:t>подачи заявления на предоставление земельного участка, без проведения торгов (постановление Правительства РФ № 629 от 09.04.2022).</w:t>
      </w:r>
    </w:p>
    <w:p w14:paraId="5E914FA4" w14:textId="3E7417C8" w:rsidR="0023649E" w:rsidRPr="00347E12" w:rsidRDefault="0023649E" w:rsidP="0023649E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7E12">
        <w:rPr>
          <w:rFonts w:ascii="Times New Roman" w:hAnsi="Times New Roman"/>
          <w:sz w:val="28"/>
          <w:szCs w:val="28"/>
        </w:rPr>
        <w:t xml:space="preserve">Оказана методическая поддержка в подготовке документов для подачи </w:t>
      </w:r>
      <w:r w:rsidR="00C75455">
        <w:rPr>
          <w:rFonts w:ascii="Times New Roman" w:hAnsi="Times New Roman"/>
          <w:sz w:val="28"/>
          <w:szCs w:val="28"/>
        </w:rPr>
        <w:t>з</w:t>
      </w:r>
      <w:r w:rsidRPr="00347E12">
        <w:rPr>
          <w:rFonts w:ascii="Times New Roman" w:hAnsi="Times New Roman"/>
          <w:sz w:val="28"/>
          <w:szCs w:val="28"/>
        </w:rPr>
        <w:t>аявления о проведении проверки промышленного технопарка на соответствие требованиям к промышленным технопаркам и управляющим компаниям промышленных технопарков в целях применения к ним мер стимулирования деятельности в сфере промышленности в Министерство промышленности и торговли Российской Федерации.</w:t>
      </w:r>
    </w:p>
    <w:p w14:paraId="68997F6F" w14:textId="08CF420A" w:rsidR="003654C7" w:rsidRDefault="0023649E" w:rsidP="0023649E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7E12">
        <w:rPr>
          <w:rFonts w:ascii="Times New Roman" w:hAnsi="Times New Roman"/>
          <w:sz w:val="28"/>
          <w:szCs w:val="28"/>
        </w:rPr>
        <w:t>Оказана методическая поддержка ООО «Агропродукт»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7E12">
        <w:rPr>
          <w:rFonts w:ascii="Times New Roman" w:hAnsi="Times New Roman"/>
          <w:sz w:val="28"/>
          <w:szCs w:val="28"/>
        </w:rPr>
        <w:t>в подготовке документов для подачи предложения о заключении Соглашения о реализации инвестиционных проектов.</w:t>
      </w:r>
    </w:p>
    <w:p w14:paraId="5083BDFF" w14:textId="1D94A84D" w:rsidR="0023649E" w:rsidRPr="00347E12" w:rsidRDefault="0023649E" w:rsidP="0023649E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347E12">
        <w:rPr>
          <w:rFonts w:ascii="Times New Roman" w:hAnsi="Times New Roman"/>
          <w:sz w:val="28"/>
          <w:szCs w:val="28"/>
        </w:rPr>
        <w:t>казано содействие ООО «</w:t>
      </w:r>
      <w:proofErr w:type="spellStart"/>
      <w:r w:rsidRPr="00347E12">
        <w:rPr>
          <w:rFonts w:ascii="Times New Roman" w:hAnsi="Times New Roman"/>
          <w:sz w:val="28"/>
          <w:szCs w:val="28"/>
        </w:rPr>
        <w:t>Протим</w:t>
      </w:r>
      <w:proofErr w:type="spellEnd"/>
      <w:r w:rsidRPr="00347E12">
        <w:rPr>
          <w:rFonts w:ascii="Times New Roman" w:hAnsi="Times New Roman"/>
          <w:sz w:val="28"/>
          <w:szCs w:val="28"/>
        </w:rPr>
        <w:t xml:space="preserve"> Девелопмент» в поиске помещения для организации производства лыж и сопутствующего оборудования на территории г. Ханты-Мансийска. Проведено совещание с участием инвестора и представителей АО «УК «Промышленные парки Югры» по вопросу размещения в ПТ «Импульс».</w:t>
      </w:r>
    </w:p>
    <w:p w14:paraId="12253940" w14:textId="34C99F03" w:rsidR="0023649E" w:rsidRDefault="004B061E" w:rsidP="0023649E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</w:t>
      </w:r>
      <w:r w:rsidRPr="00347E12">
        <w:rPr>
          <w:rFonts w:ascii="Times New Roman" w:hAnsi="Times New Roman"/>
          <w:sz w:val="28"/>
          <w:szCs w:val="28"/>
        </w:rPr>
        <w:t>казано содействие ООО «</w:t>
      </w:r>
      <w:proofErr w:type="spellStart"/>
      <w:r w:rsidRPr="00347E12">
        <w:rPr>
          <w:rFonts w:ascii="Times New Roman" w:hAnsi="Times New Roman"/>
          <w:sz w:val="28"/>
          <w:szCs w:val="28"/>
        </w:rPr>
        <w:t>Вайлдберриз</w:t>
      </w:r>
      <w:proofErr w:type="spellEnd"/>
      <w:r w:rsidRPr="00347E12">
        <w:rPr>
          <w:rFonts w:ascii="Times New Roman" w:hAnsi="Times New Roman"/>
          <w:sz w:val="28"/>
          <w:szCs w:val="28"/>
        </w:rPr>
        <w:t>» в поиске земельного участка в Сургутском районе.</w:t>
      </w:r>
      <w:r w:rsidRPr="00347E12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Подписано распоряжение Губернатора №317-рг от 15.11.2023 «О предоставлении ЗУ в аренду без проведения торгов». Заключено соглашение о реализации масштабного инвестиционного проекта</w:t>
      </w:r>
      <w:r w:rsidRPr="00347E12">
        <w:rPr>
          <w:rFonts w:ascii="Times New Roman" w:hAnsi="Times New Roman"/>
          <w:sz w:val="28"/>
          <w:szCs w:val="28"/>
        </w:rPr>
        <w:t xml:space="preserve"> «</w:t>
      </w:r>
      <w:r w:rsidRPr="00347E12">
        <w:rPr>
          <w:rFonts w:ascii="Times New Roman" w:eastAsia="Times New Roman" w:hAnsi="Times New Roman"/>
          <w:sz w:val="28"/>
          <w:szCs w:val="28"/>
          <w:lang w:eastAsia="ru-RU"/>
        </w:rPr>
        <w:t xml:space="preserve">Строительство транспортно- логистического складского комплекса на территории Сургутского муниципального района автономного округа – Югры» (от 21.11.2023).  </w:t>
      </w:r>
    </w:p>
    <w:p w14:paraId="683BD7AB" w14:textId="51E47372" w:rsidR="004B061E" w:rsidRDefault="004B061E" w:rsidP="004B061E">
      <w:pPr>
        <w:pStyle w:val="a3"/>
        <w:tabs>
          <w:tab w:val="left" w:pos="851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F07FF">
        <w:rPr>
          <w:rFonts w:ascii="Times New Roman" w:hAnsi="Times New Roman"/>
          <w:sz w:val="28"/>
          <w:szCs w:val="28"/>
        </w:rPr>
        <w:t>веден в эксплуатацию «Комплекс по производству особо чистого кварцевого концентрат</w:t>
      </w:r>
      <w:r>
        <w:rPr>
          <w:rFonts w:ascii="Times New Roman" w:hAnsi="Times New Roman"/>
          <w:sz w:val="28"/>
          <w:szCs w:val="28"/>
        </w:rPr>
        <w:t>а</w:t>
      </w:r>
      <w:r w:rsidRPr="00DF07FF">
        <w:rPr>
          <w:rFonts w:ascii="Times New Roman" w:hAnsi="Times New Roman"/>
          <w:sz w:val="28"/>
          <w:szCs w:val="28"/>
        </w:rPr>
        <w:t xml:space="preserve"> в ХМАО Тюменской области. 2 этап строительства. </w:t>
      </w:r>
      <w:r w:rsidRPr="00B44DF0">
        <w:rPr>
          <w:rFonts w:ascii="Times New Roman" w:hAnsi="Times New Roman"/>
          <w:sz w:val="28"/>
          <w:szCs w:val="28"/>
        </w:rPr>
        <w:t>Завод по обогащению кварца» (разрешение на ввод в эксплуатацию от 12.05.2023)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47E12">
        <w:rPr>
          <w:rFonts w:ascii="Times New Roman" w:hAnsi="Times New Roman"/>
          <w:iCs/>
          <w:sz w:val="28"/>
          <w:szCs w:val="28"/>
        </w:rPr>
        <w:t>В рамках проекта подписан первый экспортный контракт на поставку кварцевой крупки</w:t>
      </w:r>
      <w:r>
        <w:rPr>
          <w:rFonts w:ascii="Times New Roman" w:hAnsi="Times New Roman"/>
          <w:sz w:val="28"/>
          <w:szCs w:val="28"/>
        </w:rPr>
        <w:t xml:space="preserve"> с компаниями Китая и РФ.</w:t>
      </w:r>
    </w:p>
    <w:p w14:paraId="279ED9D5" w14:textId="5D75E98F" w:rsidR="004B061E" w:rsidRPr="00347E12" w:rsidRDefault="004B061E" w:rsidP="004B061E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У</w:t>
      </w:r>
      <w:r w:rsidRPr="00347E12">
        <w:rPr>
          <w:rFonts w:ascii="Times New Roman" w:hAnsi="Times New Roman"/>
          <w:iCs/>
          <w:sz w:val="28"/>
          <w:szCs w:val="28"/>
        </w:rPr>
        <w:t xml:space="preserve">тверждена «Концепция развития беспилотных транспортных систем в Ханты-Мансийском автономном округе - Югре на период до 2030 года и на </w:t>
      </w:r>
      <w:r w:rsidRPr="00347E12">
        <w:rPr>
          <w:rFonts w:ascii="Times New Roman" w:hAnsi="Times New Roman"/>
          <w:iCs/>
          <w:sz w:val="28"/>
          <w:szCs w:val="28"/>
        </w:rPr>
        <w:lastRenderedPageBreak/>
        <w:t xml:space="preserve">перспективу до 2035 года» </w:t>
      </w:r>
      <w:r>
        <w:rPr>
          <w:rFonts w:ascii="Times New Roman" w:hAnsi="Times New Roman"/>
          <w:iCs/>
          <w:sz w:val="28"/>
          <w:szCs w:val="28"/>
        </w:rPr>
        <w:t>(</w:t>
      </w:r>
      <w:r w:rsidRPr="00347E12">
        <w:rPr>
          <w:rFonts w:ascii="Times New Roman" w:hAnsi="Times New Roman"/>
          <w:iCs/>
          <w:sz w:val="28"/>
          <w:szCs w:val="28"/>
        </w:rPr>
        <w:t>Распоряжение Правительства Ханты-Мансийского автономного округа – Югры от 24.11.2023 № 765-рп</w:t>
      </w:r>
      <w:r>
        <w:rPr>
          <w:rFonts w:ascii="Times New Roman" w:hAnsi="Times New Roman"/>
          <w:iCs/>
          <w:sz w:val="28"/>
          <w:szCs w:val="28"/>
        </w:rPr>
        <w:t>)</w:t>
      </w:r>
      <w:r w:rsidRPr="00347E12">
        <w:rPr>
          <w:rFonts w:ascii="Times New Roman" w:hAnsi="Times New Roman"/>
          <w:iCs/>
          <w:sz w:val="28"/>
          <w:szCs w:val="28"/>
        </w:rPr>
        <w:t>.</w:t>
      </w:r>
    </w:p>
    <w:p w14:paraId="5670A8A2" w14:textId="77777777" w:rsidR="004B061E" w:rsidRPr="004B061E" w:rsidRDefault="004B061E" w:rsidP="004B061E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061E">
        <w:rPr>
          <w:rFonts w:ascii="Times New Roman" w:eastAsia="Calibri" w:hAnsi="Times New Roman" w:cs="Times New Roman"/>
          <w:sz w:val="28"/>
          <w:szCs w:val="28"/>
        </w:rPr>
        <w:t>Оказано содействие в разработке региональной программы: «Развитие беспилотной авиации в Ханты-Мансийском автономном округе – Югре на 2023 - 2030 годы». Региональная программа утверждена</w:t>
      </w:r>
      <w:r w:rsidRPr="004B061E">
        <w:rPr>
          <w:rFonts w:ascii="Calibri" w:eastAsia="Calibri" w:hAnsi="Calibri" w:cs="Times New Roman"/>
        </w:rPr>
        <w:t xml:space="preserve"> </w:t>
      </w:r>
      <w:r w:rsidRPr="004B061E">
        <w:rPr>
          <w:rFonts w:ascii="Times New Roman" w:eastAsia="Calibri" w:hAnsi="Times New Roman" w:cs="Times New Roman"/>
          <w:sz w:val="28"/>
          <w:szCs w:val="28"/>
        </w:rPr>
        <w:t xml:space="preserve">постановлением Правительства автономного округа от 20.12.2023 № 646-п. </w:t>
      </w:r>
    </w:p>
    <w:p w14:paraId="19920DAC" w14:textId="5D3703F8" w:rsidR="004B061E" w:rsidRPr="004B061E" w:rsidRDefault="004B061E" w:rsidP="004B061E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Получено положительное заключение государственной экспертизы на инженерное обеспечение </w:t>
      </w:r>
      <w:r w:rsidR="00721CF5" w:rsidRPr="0043044E">
        <w:rPr>
          <w:rFonts w:ascii="Times New Roman" w:hAnsi="Times New Roman" w:cs="Times New Roman"/>
          <w:sz w:val="28"/>
          <w:szCs w:val="28"/>
          <w:shd w:val="clear" w:color="auto" w:fill="FFFFFF"/>
        </w:rPr>
        <w:t>индустриального парка «Когалым»</w:t>
      </w:r>
      <w:r w:rsidR="00D84812" w:rsidRPr="0043044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B061E">
        <w:rPr>
          <w:rFonts w:ascii="Times New Roman" w:eastAsia="Calibri" w:hAnsi="Times New Roman" w:cs="Times New Roman"/>
          <w:iCs/>
          <w:sz w:val="28"/>
          <w:szCs w:val="28"/>
        </w:rPr>
        <w:t xml:space="preserve">Заключены Соглашения о совместной реализации проекта с ООО «ЛУКОЙЛ – Западная Сибирь», ООО «Максима </w:t>
      </w:r>
      <w:proofErr w:type="spellStart"/>
      <w:r w:rsidRPr="004B061E">
        <w:rPr>
          <w:rFonts w:ascii="Times New Roman" w:eastAsia="Calibri" w:hAnsi="Times New Roman" w:cs="Times New Roman"/>
          <w:iCs/>
          <w:sz w:val="28"/>
          <w:szCs w:val="28"/>
        </w:rPr>
        <w:t>Дриллинг</w:t>
      </w:r>
      <w:proofErr w:type="spellEnd"/>
      <w:r w:rsidRPr="004B061E">
        <w:rPr>
          <w:rFonts w:ascii="Times New Roman" w:eastAsia="Calibri" w:hAnsi="Times New Roman" w:cs="Times New Roman"/>
          <w:iCs/>
          <w:sz w:val="28"/>
          <w:szCs w:val="28"/>
        </w:rPr>
        <w:t xml:space="preserve"> Когалым».</w:t>
      </w:r>
    </w:p>
    <w:p w14:paraId="17F85B85" w14:textId="60706989" w:rsidR="004B061E" w:rsidRDefault="004B061E" w:rsidP="00D84812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88233D">
        <w:rPr>
          <w:rFonts w:ascii="Times New Roman" w:eastAsia="Times New Roman" w:hAnsi="Times New Roman"/>
          <w:sz w:val="28"/>
          <w:szCs w:val="28"/>
          <w:lang w:eastAsia="ru-RU"/>
        </w:rPr>
        <w:t xml:space="preserve">ринято </w:t>
      </w:r>
      <w:r w:rsidRPr="0088233D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02.08.2023 № 1255 «О создании инновационного научно-технологического центра «ЮНИТИ ПАРК». </w:t>
      </w:r>
    </w:p>
    <w:p w14:paraId="5301C77D" w14:textId="77777777" w:rsidR="003F6AE7" w:rsidRPr="0043044E" w:rsidRDefault="003F6AE7" w:rsidP="003F6AE7">
      <w:pPr>
        <w:tabs>
          <w:tab w:val="left" w:pos="426"/>
        </w:tabs>
        <w:spacing w:after="12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F7D1D4" w14:textId="77777777" w:rsidR="00535310" w:rsidRPr="0043044E" w:rsidRDefault="00535310" w:rsidP="003F6AE7">
      <w:pPr>
        <w:spacing w:after="12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3044E">
        <w:rPr>
          <w:rFonts w:ascii="Times New Roman" w:hAnsi="Times New Roman" w:cs="Times New Roman"/>
          <w:b/>
          <w:bCs/>
          <w:iCs/>
          <w:sz w:val="28"/>
          <w:szCs w:val="28"/>
        </w:rPr>
        <w:t>Создание инфраструктурных объектов на принципах государственно-частного партнерства и иная деятельность Центра государственно-частного партнерства</w:t>
      </w:r>
    </w:p>
    <w:p w14:paraId="58553224" w14:textId="1AE08AFE" w:rsidR="003F6AE7" w:rsidRPr="0043044E" w:rsidRDefault="003F6AE7" w:rsidP="003F6AE7">
      <w:pPr>
        <w:spacing w:after="12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44E">
        <w:rPr>
          <w:rFonts w:ascii="Times New Roman" w:hAnsi="Times New Roman" w:cs="Times New Roman"/>
          <w:sz w:val="28"/>
          <w:szCs w:val="28"/>
        </w:rPr>
        <w:t xml:space="preserve">Всего на сопровождении </w:t>
      </w:r>
      <w:r w:rsidR="007B35B3">
        <w:rPr>
          <w:rFonts w:ascii="Times New Roman" w:hAnsi="Times New Roman" w:cs="Times New Roman"/>
          <w:sz w:val="28"/>
          <w:szCs w:val="28"/>
        </w:rPr>
        <w:t>30</w:t>
      </w:r>
      <w:r w:rsidRPr="0043044E">
        <w:rPr>
          <w:rFonts w:ascii="Times New Roman" w:hAnsi="Times New Roman" w:cs="Times New Roman"/>
          <w:sz w:val="28"/>
          <w:szCs w:val="28"/>
        </w:rPr>
        <w:t xml:space="preserve"> проектов, объем инвестиций </w:t>
      </w:r>
      <w:r w:rsidR="007B35B3">
        <w:rPr>
          <w:rFonts w:ascii="Times New Roman" w:hAnsi="Times New Roman" w:cs="Times New Roman"/>
          <w:sz w:val="28"/>
          <w:szCs w:val="28"/>
        </w:rPr>
        <w:t>66,1</w:t>
      </w:r>
      <w:r w:rsidRPr="0043044E">
        <w:rPr>
          <w:rFonts w:ascii="Times New Roman" w:hAnsi="Times New Roman" w:cs="Times New Roman"/>
          <w:sz w:val="28"/>
          <w:szCs w:val="28"/>
        </w:rPr>
        <w:t xml:space="preserve"> млрд рублей, в том числе:</w:t>
      </w:r>
    </w:p>
    <w:p w14:paraId="57718730" w14:textId="04E2396F" w:rsidR="003F6AE7" w:rsidRPr="0043044E" w:rsidRDefault="003F6AE7" w:rsidP="003F6AE7">
      <w:pPr>
        <w:spacing w:after="12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44E">
        <w:rPr>
          <w:rFonts w:ascii="Times New Roman" w:hAnsi="Times New Roman" w:cs="Times New Roman"/>
          <w:sz w:val="28"/>
          <w:szCs w:val="28"/>
        </w:rPr>
        <w:t xml:space="preserve">- в сфере транспортной инфраструктуры – 1 проект, объем инвестиций – </w:t>
      </w:r>
      <w:r w:rsidR="002C48B2" w:rsidRPr="0043044E">
        <w:rPr>
          <w:rFonts w:ascii="Times New Roman" w:hAnsi="Times New Roman" w:cs="Times New Roman"/>
          <w:sz w:val="28"/>
          <w:szCs w:val="28"/>
        </w:rPr>
        <w:t>4,4</w:t>
      </w:r>
      <w:r w:rsidRPr="0043044E">
        <w:rPr>
          <w:rFonts w:ascii="Times New Roman" w:hAnsi="Times New Roman" w:cs="Times New Roman"/>
          <w:sz w:val="28"/>
          <w:szCs w:val="28"/>
        </w:rPr>
        <w:t xml:space="preserve"> млрд рублей;  </w:t>
      </w:r>
    </w:p>
    <w:p w14:paraId="395C1CCC" w14:textId="3AB28E14" w:rsidR="003F6AE7" w:rsidRPr="009D52FA" w:rsidRDefault="003F6AE7" w:rsidP="003F6AE7">
      <w:pPr>
        <w:spacing w:after="12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2FA">
        <w:rPr>
          <w:rFonts w:ascii="Times New Roman" w:hAnsi="Times New Roman" w:cs="Times New Roman"/>
          <w:sz w:val="28"/>
          <w:szCs w:val="28"/>
        </w:rPr>
        <w:t xml:space="preserve">в сфере образования – </w:t>
      </w:r>
      <w:r w:rsidR="007B35B3" w:rsidRPr="009D52FA">
        <w:rPr>
          <w:rFonts w:ascii="Times New Roman" w:hAnsi="Times New Roman" w:cs="Times New Roman"/>
          <w:sz w:val="28"/>
          <w:szCs w:val="28"/>
        </w:rPr>
        <w:t>1</w:t>
      </w:r>
      <w:r w:rsidR="00CB035B" w:rsidRPr="009D52FA">
        <w:rPr>
          <w:rFonts w:ascii="Times New Roman" w:hAnsi="Times New Roman" w:cs="Times New Roman"/>
          <w:sz w:val="28"/>
          <w:szCs w:val="28"/>
        </w:rPr>
        <w:t>2</w:t>
      </w:r>
      <w:r w:rsidRPr="009D52FA">
        <w:rPr>
          <w:rFonts w:ascii="Times New Roman" w:hAnsi="Times New Roman" w:cs="Times New Roman"/>
          <w:sz w:val="28"/>
          <w:szCs w:val="28"/>
        </w:rPr>
        <w:t xml:space="preserve"> проектов, объем инвестиций – </w:t>
      </w:r>
      <w:r w:rsidR="00CB035B" w:rsidRPr="009D52FA">
        <w:rPr>
          <w:rFonts w:ascii="Times New Roman" w:hAnsi="Times New Roman" w:cs="Times New Roman"/>
          <w:sz w:val="28"/>
          <w:szCs w:val="28"/>
        </w:rPr>
        <w:t>22,0</w:t>
      </w:r>
      <w:r w:rsidRPr="009D52FA">
        <w:rPr>
          <w:rFonts w:ascii="Times New Roman" w:hAnsi="Times New Roman" w:cs="Times New Roman"/>
          <w:sz w:val="28"/>
          <w:szCs w:val="28"/>
        </w:rPr>
        <w:t xml:space="preserve"> млрд рублей;</w:t>
      </w:r>
    </w:p>
    <w:p w14:paraId="1DC98837" w14:textId="6FB1BEDF" w:rsidR="003F6AE7" w:rsidRPr="009D52FA" w:rsidRDefault="003F6AE7" w:rsidP="003F6AE7">
      <w:pPr>
        <w:spacing w:after="12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2FA">
        <w:rPr>
          <w:rFonts w:ascii="Times New Roman" w:hAnsi="Times New Roman" w:cs="Times New Roman"/>
          <w:sz w:val="28"/>
          <w:szCs w:val="28"/>
        </w:rPr>
        <w:t xml:space="preserve">- в сфере ЖКК – </w:t>
      </w:r>
      <w:r w:rsidR="00CB035B" w:rsidRPr="009D52FA">
        <w:rPr>
          <w:rFonts w:ascii="Times New Roman" w:hAnsi="Times New Roman" w:cs="Times New Roman"/>
          <w:sz w:val="28"/>
          <w:szCs w:val="28"/>
        </w:rPr>
        <w:t>4</w:t>
      </w:r>
      <w:r w:rsidRPr="009D52FA">
        <w:rPr>
          <w:rFonts w:ascii="Times New Roman" w:hAnsi="Times New Roman" w:cs="Times New Roman"/>
          <w:sz w:val="28"/>
          <w:szCs w:val="28"/>
        </w:rPr>
        <w:t xml:space="preserve"> проекта, объем инвестиций – 12,</w:t>
      </w:r>
      <w:r w:rsidR="00CB035B" w:rsidRPr="009D52FA">
        <w:rPr>
          <w:rFonts w:ascii="Times New Roman" w:hAnsi="Times New Roman" w:cs="Times New Roman"/>
          <w:sz w:val="28"/>
          <w:szCs w:val="28"/>
        </w:rPr>
        <w:t>9</w:t>
      </w:r>
      <w:r w:rsidRPr="009D52FA">
        <w:rPr>
          <w:rFonts w:ascii="Times New Roman" w:hAnsi="Times New Roman" w:cs="Times New Roman"/>
          <w:sz w:val="28"/>
          <w:szCs w:val="28"/>
        </w:rPr>
        <w:t xml:space="preserve"> млрд рублей;</w:t>
      </w:r>
    </w:p>
    <w:p w14:paraId="577B721B" w14:textId="10D6A0D8" w:rsidR="003F6AE7" w:rsidRPr="009D52FA" w:rsidRDefault="003F6AE7" w:rsidP="003F6AE7">
      <w:pPr>
        <w:spacing w:after="12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2FA">
        <w:rPr>
          <w:rFonts w:ascii="Times New Roman" w:hAnsi="Times New Roman" w:cs="Times New Roman"/>
          <w:sz w:val="28"/>
          <w:szCs w:val="28"/>
        </w:rPr>
        <w:t xml:space="preserve">- в сфере ТКО – </w:t>
      </w:r>
      <w:r w:rsidR="00CB035B" w:rsidRPr="009D52FA">
        <w:rPr>
          <w:rFonts w:ascii="Times New Roman" w:hAnsi="Times New Roman" w:cs="Times New Roman"/>
          <w:sz w:val="28"/>
          <w:szCs w:val="28"/>
        </w:rPr>
        <w:t>8</w:t>
      </w:r>
      <w:r w:rsidRPr="009D52FA">
        <w:rPr>
          <w:rFonts w:ascii="Times New Roman" w:hAnsi="Times New Roman" w:cs="Times New Roman"/>
          <w:sz w:val="28"/>
          <w:szCs w:val="28"/>
        </w:rPr>
        <w:t xml:space="preserve"> проектов, объем инвестиций – </w:t>
      </w:r>
      <w:r w:rsidR="008067EB" w:rsidRPr="009D52FA">
        <w:rPr>
          <w:rFonts w:ascii="Times New Roman" w:hAnsi="Times New Roman" w:cs="Times New Roman"/>
          <w:sz w:val="28"/>
          <w:szCs w:val="28"/>
        </w:rPr>
        <w:t>1</w:t>
      </w:r>
      <w:r w:rsidR="007B35B3" w:rsidRPr="009D52FA">
        <w:rPr>
          <w:rFonts w:ascii="Times New Roman" w:hAnsi="Times New Roman" w:cs="Times New Roman"/>
          <w:sz w:val="28"/>
          <w:szCs w:val="28"/>
        </w:rPr>
        <w:t>4</w:t>
      </w:r>
      <w:r w:rsidR="008067EB" w:rsidRPr="009D52FA">
        <w:rPr>
          <w:rFonts w:ascii="Times New Roman" w:hAnsi="Times New Roman" w:cs="Times New Roman"/>
          <w:sz w:val="28"/>
          <w:szCs w:val="28"/>
        </w:rPr>
        <w:t>,</w:t>
      </w:r>
      <w:r w:rsidR="007B35B3" w:rsidRPr="009D52FA">
        <w:rPr>
          <w:rFonts w:ascii="Times New Roman" w:hAnsi="Times New Roman" w:cs="Times New Roman"/>
          <w:sz w:val="28"/>
          <w:szCs w:val="28"/>
        </w:rPr>
        <w:t>7</w:t>
      </w:r>
      <w:r w:rsidRPr="009D52FA">
        <w:rPr>
          <w:rFonts w:ascii="Times New Roman" w:hAnsi="Times New Roman" w:cs="Times New Roman"/>
          <w:sz w:val="28"/>
          <w:szCs w:val="28"/>
        </w:rPr>
        <w:t xml:space="preserve"> млрд рублей;</w:t>
      </w:r>
    </w:p>
    <w:p w14:paraId="35D564A1" w14:textId="0A735326" w:rsidR="003F6AE7" w:rsidRPr="009D52FA" w:rsidRDefault="003F6AE7" w:rsidP="003F6AE7">
      <w:pPr>
        <w:spacing w:after="12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2FA">
        <w:rPr>
          <w:rFonts w:ascii="Times New Roman" w:hAnsi="Times New Roman" w:cs="Times New Roman"/>
          <w:sz w:val="28"/>
          <w:szCs w:val="28"/>
        </w:rPr>
        <w:t xml:space="preserve">- в сфере спорта – </w:t>
      </w:r>
      <w:r w:rsidR="008067EB" w:rsidRPr="009D52FA">
        <w:rPr>
          <w:rFonts w:ascii="Times New Roman" w:hAnsi="Times New Roman" w:cs="Times New Roman"/>
          <w:sz w:val="28"/>
          <w:szCs w:val="28"/>
        </w:rPr>
        <w:t>4</w:t>
      </w:r>
      <w:r w:rsidRPr="009D52FA">
        <w:rPr>
          <w:rFonts w:ascii="Times New Roman" w:hAnsi="Times New Roman" w:cs="Times New Roman"/>
          <w:sz w:val="28"/>
          <w:szCs w:val="28"/>
        </w:rPr>
        <w:t xml:space="preserve"> проекта, объем инвестиций – </w:t>
      </w:r>
      <w:r w:rsidR="008067EB" w:rsidRPr="009D52FA">
        <w:rPr>
          <w:rFonts w:ascii="Times New Roman" w:hAnsi="Times New Roman" w:cs="Times New Roman"/>
          <w:sz w:val="28"/>
          <w:szCs w:val="28"/>
        </w:rPr>
        <w:t>1,2</w:t>
      </w:r>
      <w:r w:rsidRPr="009D52FA">
        <w:rPr>
          <w:rFonts w:ascii="Times New Roman" w:hAnsi="Times New Roman" w:cs="Times New Roman"/>
          <w:sz w:val="28"/>
          <w:szCs w:val="28"/>
        </w:rPr>
        <w:t xml:space="preserve"> млрд рублей;</w:t>
      </w:r>
    </w:p>
    <w:p w14:paraId="568240C4" w14:textId="741DD4FA" w:rsidR="003F6AE7" w:rsidRPr="009D52FA" w:rsidRDefault="003F6AE7" w:rsidP="003F6AE7">
      <w:pPr>
        <w:spacing w:after="12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2FA">
        <w:rPr>
          <w:rFonts w:ascii="Times New Roman" w:hAnsi="Times New Roman" w:cs="Times New Roman"/>
          <w:sz w:val="28"/>
          <w:szCs w:val="28"/>
        </w:rPr>
        <w:t>- в сфере здравоохранения - 1 проект, объем инвестиций – 10,9 млрд рублей;</w:t>
      </w:r>
    </w:p>
    <w:p w14:paraId="7A2AEA3C" w14:textId="6522E6BA" w:rsidR="008067EB" w:rsidRPr="009D52FA" w:rsidRDefault="003F6AE7" w:rsidP="008067EB">
      <w:pPr>
        <w:pStyle w:val="a3"/>
        <w:tabs>
          <w:tab w:val="left" w:pos="851"/>
          <w:tab w:val="left" w:pos="993"/>
          <w:tab w:val="left" w:pos="1134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D52FA">
        <w:rPr>
          <w:rFonts w:ascii="Times New Roman" w:hAnsi="Times New Roman" w:cs="Times New Roman"/>
          <w:sz w:val="28"/>
          <w:szCs w:val="28"/>
        </w:rPr>
        <w:t xml:space="preserve">В </w:t>
      </w:r>
      <w:r w:rsidR="00535310" w:rsidRPr="009D52FA">
        <w:rPr>
          <w:rFonts w:ascii="Times New Roman" w:hAnsi="Times New Roman" w:cs="Times New Roman"/>
          <w:sz w:val="28"/>
          <w:szCs w:val="28"/>
        </w:rPr>
        <w:t>202</w:t>
      </w:r>
      <w:r w:rsidR="00CB035B" w:rsidRPr="009D52FA">
        <w:rPr>
          <w:rFonts w:ascii="Times New Roman" w:hAnsi="Times New Roman" w:cs="Times New Roman"/>
          <w:sz w:val="28"/>
          <w:szCs w:val="28"/>
        </w:rPr>
        <w:t>3</w:t>
      </w:r>
      <w:r w:rsidR="00535310" w:rsidRPr="009D52FA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9D52FA">
        <w:rPr>
          <w:rFonts w:ascii="Times New Roman" w:hAnsi="Times New Roman" w:cs="Times New Roman"/>
          <w:sz w:val="28"/>
          <w:szCs w:val="28"/>
        </w:rPr>
        <w:t xml:space="preserve"> </w:t>
      </w:r>
      <w:r w:rsidR="008067EB" w:rsidRPr="009D52FA">
        <w:rPr>
          <w:rFonts w:ascii="Times New Roman" w:hAnsi="Times New Roman" w:cs="Times New Roman"/>
          <w:sz w:val="28"/>
          <w:szCs w:val="28"/>
        </w:rPr>
        <w:t>заключены соглашения:</w:t>
      </w:r>
    </w:p>
    <w:p w14:paraId="71B19EC2" w14:textId="4890C1CF" w:rsidR="0043044E" w:rsidRPr="009D52FA" w:rsidRDefault="0043044E" w:rsidP="0043044E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D52FA">
        <w:rPr>
          <w:rFonts w:ascii="Times New Roman" w:hAnsi="Times New Roman"/>
          <w:sz w:val="28"/>
          <w:szCs w:val="28"/>
        </w:rPr>
        <w:lastRenderedPageBreak/>
        <w:t>с АО «ЮТЭК-Региональные сети» по реализации инвестиционного проекта «Реконструкция наружного уличного и внутриквартального (дворового) освещения территории города Пыть-Ях»;</w:t>
      </w:r>
    </w:p>
    <w:p w14:paraId="46245C81" w14:textId="3FDCE753" w:rsidR="0043044E" w:rsidRPr="009D52FA" w:rsidRDefault="0043044E" w:rsidP="0043044E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D52FA">
        <w:rPr>
          <w:rFonts w:ascii="Times New Roman" w:hAnsi="Times New Roman"/>
          <w:sz w:val="28"/>
          <w:szCs w:val="28"/>
        </w:rPr>
        <w:t>с ООО «Сургутские городские электрические сети» по реализации инвестиционного проекта «Реконструкция наружного освещения территории города Сургута»;</w:t>
      </w:r>
    </w:p>
    <w:p w14:paraId="7BFDAD95" w14:textId="50A30CB2" w:rsidR="0043044E" w:rsidRPr="009D52FA" w:rsidRDefault="0043044E" w:rsidP="0043044E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D52FA">
        <w:rPr>
          <w:rFonts w:ascii="Times New Roman" w:hAnsi="Times New Roman"/>
          <w:sz w:val="28"/>
          <w:szCs w:val="28"/>
        </w:rPr>
        <w:t>с ООО «Жилищно-Коммунальное Автотранспортное Предприятие» - утверждена Инвестиционная программа в сфере обращения с твердыми коммунальными отходами (Приказ Департамента промышленности № 38-П-406 от 25.10.2023) по реализации инвестиционного проекта «Полигон для размещения твердых бытовых отходов г. Мегион», планируемый объем инвестиции проекта;</w:t>
      </w:r>
    </w:p>
    <w:p w14:paraId="4DF91C79" w14:textId="4BA385C8" w:rsidR="0043044E" w:rsidRPr="009D52FA" w:rsidRDefault="0043044E" w:rsidP="0043044E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D52FA">
        <w:rPr>
          <w:rFonts w:ascii="Times New Roman" w:hAnsi="Times New Roman"/>
          <w:sz w:val="28"/>
          <w:szCs w:val="28"/>
        </w:rPr>
        <w:t xml:space="preserve">с ООО «Комплекс переработки отходов «ЮГРА» о создании и эксплуатации комплексного межмуниципального полигона твердых коммунальных отходов для города Нягани, поселений Октябрьского района Ханты-Мансийского автономного округа – Югры; </w:t>
      </w:r>
    </w:p>
    <w:p w14:paraId="5BF1208C" w14:textId="0A2FF3C6" w:rsidR="0043044E" w:rsidRPr="009D52FA" w:rsidRDefault="00535310" w:rsidP="00CB035B">
      <w:pPr>
        <w:pStyle w:val="a3"/>
        <w:tabs>
          <w:tab w:val="left" w:pos="993"/>
          <w:tab w:val="left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52FA">
        <w:rPr>
          <w:rFonts w:ascii="Times New Roman" w:hAnsi="Times New Roman" w:cs="Times New Roman"/>
          <w:sz w:val="28"/>
          <w:szCs w:val="28"/>
        </w:rPr>
        <w:t>По итогам исполнения концессионных соглашений введен</w:t>
      </w:r>
      <w:r w:rsidR="00CB035B" w:rsidRPr="009D52FA">
        <w:rPr>
          <w:rFonts w:ascii="Times New Roman" w:hAnsi="Times New Roman" w:cs="Times New Roman"/>
          <w:sz w:val="28"/>
          <w:szCs w:val="28"/>
        </w:rPr>
        <w:t>а</w:t>
      </w:r>
      <w:r w:rsidRPr="009D52FA">
        <w:rPr>
          <w:rFonts w:ascii="Times New Roman" w:hAnsi="Times New Roman" w:cs="Times New Roman"/>
          <w:sz w:val="28"/>
          <w:szCs w:val="28"/>
        </w:rPr>
        <w:t xml:space="preserve"> в эксплуатацию</w:t>
      </w:r>
      <w:r w:rsidR="0043044E" w:rsidRPr="009D52FA">
        <w:rPr>
          <w:rFonts w:ascii="Times New Roman" w:eastAsia="Times New Roman" w:hAnsi="Times New Roman"/>
          <w:sz w:val="28"/>
          <w:szCs w:val="28"/>
        </w:rPr>
        <w:t xml:space="preserve"> </w:t>
      </w:r>
      <w:r w:rsidR="0043044E" w:rsidRPr="009D52F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Общеобразовательная школа на 1125 учащихся в квартале №25 г. Нижневартовска (</w:t>
      </w:r>
      <w:r w:rsidR="0043044E" w:rsidRPr="009D52FA">
        <w:rPr>
          <w:rFonts w:ascii="Times New Roman" w:hAnsi="Times New Roman"/>
          <w:sz w:val="28"/>
          <w:szCs w:val="28"/>
        </w:rPr>
        <w:t xml:space="preserve">разрешение на ввод в эксплуатацию от </w:t>
      </w:r>
      <w:r w:rsidR="0043044E" w:rsidRPr="009D52FA">
        <w:rPr>
          <w:rFonts w:ascii="Times New Roman" w:eastAsia="Times New Roman" w:hAnsi="Times New Roman"/>
          <w:sz w:val="28"/>
          <w:szCs w:val="28"/>
        </w:rPr>
        <w:t>19.06.2023).</w:t>
      </w:r>
    </w:p>
    <w:p w14:paraId="2CFEA82B" w14:textId="74572B4F" w:rsidR="00224B8C" w:rsidRPr="009D52FA" w:rsidRDefault="00224B8C" w:rsidP="003F6AE7">
      <w:pPr>
        <w:tabs>
          <w:tab w:val="left" w:pos="993"/>
          <w:tab w:val="left" w:pos="1134"/>
          <w:tab w:val="left" w:pos="1418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52FA">
        <w:rPr>
          <w:rFonts w:ascii="Times New Roman" w:hAnsi="Times New Roman" w:cs="Times New Roman"/>
          <w:b/>
          <w:sz w:val="28"/>
          <w:szCs w:val="28"/>
        </w:rPr>
        <w:t>Региональный фонд развития промышленности.</w:t>
      </w:r>
    </w:p>
    <w:p w14:paraId="75E66E96" w14:textId="77777777" w:rsidR="006F55F1" w:rsidRDefault="006F55F1" w:rsidP="006F55F1">
      <w:pPr>
        <w:tabs>
          <w:tab w:val="left" w:pos="426"/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97110042"/>
      <w:r>
        <w:rPr>
          <w:rFonts w:ascii="Times New Roman" w:hAnsi="Times New Roman" w:cs="Times New Roman"/>
          <w:sz w:val="28"/>
          <w:szCs w:val="28"/>
        </w:rPr>
        <w:t>Фондом внесены изменения в нормативные документы, регулирующие предоставление льготных займов: на основе анализа запросов заемщиков программы финансирования оптимизированы до пяти направлений (из 11): «Производство», «Производительность», «Органика», «Резидент» и «Инфраструктура», что унифицировало схожую по целевому назначению линейку программ и упростило навигацию заемщиков.</w:t>
      </w:r>
    </w:p>
    <w:p w14:paraId="242D70EC" w14:textId="77777777" w:rsidR="006F55F1" w:rsidRDefault="006F55F1" w:rsidP="006F55F1">
      <w:pPr>
        <w:tabs>
          <w:tab w:val="left" w:pos="426"/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Специалистами фонда в 2023 году было проведено более 70 консультаций предприятий округа по программам финансовой поддержки Фонда.</w:t>
      </w:r>
    </w:p>
    <w:p w14:paraId="7E51CE18" w14:textId="77777777" w:rsidR="006F55F1" w:rsidRDefault="006F55F1" w:rsidP="006F55F1">
      <w:pPr>
        <w:tabs>
          <w:tab w:val="left" w:pos="426"/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течение 2023 года Фондом было организовано 14 заседаний Экспертного Совета. Было рассмотрено 36 вопросов, в т.ч.: 12 – предоставление льготных займов, 8 – изменение структуры и объема обеспечений займов, 5 – реструктуризация, 5 – предоставление финансовой поддержки в форме грантов, 6 –вклад в уставный капитал, прочее.</w:t>
      </w:r>
    </w:p>
    <w:p w14:paraId="235C700C" w14:textId="77777777" w:rsidR="006F55F1" w:rsidRDefault="006F55F1" w:rsidP="006F55F1">
      <w:pPr>
        <w:tabs>
          <w:tab w:val="left" w:pos="426"/>
          <w:tab w:val="left" w:pos="1134"/>
        </w:tabs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итогам 2023 заключены 12 договоров целевого займа на общую сумму 629 млн. рублей, в рамках договоров целевого займа предоставлены займы/транши в количестве 15 единиц на общую сумму 759 млн. рублей. </w:t>
      </w:r>
    </w:p>
    <w:p w14:paraId="2C43439E" w14:textId="77777777" w:rsidR="006F55F1" w:rsidRDefault="006F55F1" w:rsidP="006F55F1">
      <w:pPr>
        <w:tabs>
          <w:tab w:val="left" w:pos="426"/>
          <w:tab w:val="left" w:pos="1134"/>
        </w:tabs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целях контроля целевого использования займов в течение 2023 года Фондом осуществлены проверки и акцепты 236 реестров платежей заемщиков.</w:t>
      </w:r>
    </w:p>
    <w:p w14:paraId="651DCF94" w14:textId="1756390C" w:rsidR="003C70A3" w:rsidRPr="009D52FA" w:rsidRDefault="003C70A3" w:rsidP="003C70A3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14:paraId="0E56C2E1" w14:textId="7DF0F921" w:rsidR="00F60AF6" w:rsidRPr="009D52FA" w:rsidRDefault="00F60AF6" w:rsidP="00F60AF6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52FA">
        <w:rPr>
          <w:rFonts w:ascii="Times New Roman" w:hAnsi="Times New Roman" w:cs="Times New Roman"/>
          <w:b/>
          <w:sz w:val="28"/>
          <w:szCs w:val="28"/>
        </w:rPr>
        <w:t>Центр компетенции в сфере туризма.</w:t>
      </w:r>
    </w:p>
    <w:p w14:paraId="6CDC79CD" w14:textId="4B6CED63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2023 году предоставлена грантовая поддержка 5 компаниям, </w:t>
      </w:r>
      <w:r w:rsidR="00B8086A">
        <w:rPr>
          <w:rFonts w:ascii="Times New Roman" w:hAnsi="Times New Roman"/>
          <w:sz w:val="28"/>
          <w:szCs w:val="28"/>
        </w:rPr>
        <w:t>общим объемом 21 млн. рублей.</w:t>
      </w:r>
    </w:p>
    <w:p w14:paraId="757A49A2" w14:textId="02FE6715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презентации туристских возможностей Югры</w:t>
      </w:r>
      <w:r w:rsidR="006F55F1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F67BA98" w14:textId="596FB7D9" w:rsidR="00EA2FB5" w:rsidRPr="006D6ED2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6ED2">
        <w:rPr>
          <w:rFonts w:ascii="Times New Roman" w:hAnsi="Times New Roman"/>
          <w:sz w:val="28"/>
          <w:szCs w:val="28"/>
        </w:rPr>
        <w:t xml:space="preserve">- </w:t>
      </w:r>
      <w:r w:rsidR="00B8086A" w:rsidRPr="006D6ED2">
        <w:rPr>
          <w:rFonts w:ascii="Times New Roman" w:hAnsi="Times New Roman"/>
          <w:sz w:val="28"/>
          <w:szCs w:val="28"/>
        </w:rPr>
        <w:t>принято у</w:t>
      </w:r>
      <w:r w:rsidR="00B8086A" w:rsidRPr="006D6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частие Фонда развития Югры на международной туристской выставке «MITT 2023»</w:t>
      </w:r>
      <w:r w:rsidRPr="006D6ED2">
        <w:rPr>
          <w:rFonts w:ascii="Times New Roman" w:hAnsi="Times New Roman"/>
          <w:sz w:val="28"/>
          <w:szCs w:val="28"/>
        </w:rPr>
        <w:t>;</w:t>
      </w:r>
    </w:p>
    <w:p w14:paraId="1393A999" w14:textId="7B5B9D23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 туристский форум «</w:t>
      </w:r>
      <w:proofErr w:type="spellStart"/>
      <w:r>
        <w:rPr>
          <w:rFonts w:ascii="Times New Roman" w:hAnsi="Times New Roman"/>
          <w:sz w:val="28"/>
          <w:szCs w:val="28"/>
        </w:rPr>
        <w:t>ЮграТур</w:t>
      </w:r>
      <w:proofErr w:type="spellEnd"/>
      <w:r>
        <w:rPr>
          <w:rFonts w:ascii="Times New Roman" w:hAnsi="Times New Roman"/>
          <w:sz w:val="28"/>
          <w:szCs w:val="28"/>
        </w:rPr>
        <w:t xml:space="preserve"> 2023» </w:t>
      </w:r>
      <w:r w:rsidR="006D6ED2">
        <w:rPr>
          <w:rFonts w:ascii="Times New Roman" w:hAnsi="Times New Roman"/>
          <w:sz w:val="28"/>
          <w:szCs w:val="28"/>
        </w:rPr>
        <w:t>(г. Ханты-Мансийск)</w:t>
      </w:r>
      <w:r>
        <w:rPr>
          <w:rFonts w:ascii="Times New Roman" w:hAnsi="Times New Roman"/>
          <w:sz w:val="28"/>
          <w:szCs w:val="28"/>
        </w:rPr>
        <w:t xml:space="preserve">. Участие приняли более 250 представителей сферы туриндустрии из 18 муниципальных образований автономного округа и более 10 субъектов Российской Федерации. Подписано 26 соглашений. </w:t>
      </w:r>
    </w:p>
    <w:p w14:paraId="22DE1F03" w14:textId="720154AE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6ED2">
        <w:rPr>
          <w:rFonts w:ascii="Times New Roman" w:hAnsi="Times New Roman"/>
          <w:sz w:val="28"/>
          <w:szCs w:val="28"/>
        </w:rPr>
        <w:t xml:space="preserve">принято </w:t>
      </w:r>
      <w:r>
        <w:rPr>
          <w:rFonts w:ascii="Times New Roman" w:hAnsi="Times New Roman"/>
          <w:sz w:val="28"/>
          <w:szCs w:val="28"/>
        </w:rPr>
        <w:t>участие в специализированной выставке «</w:t>
      </w:r>
      <w:proofErr w:type="spellStart"/>
      <w:r>
        <w:rPr>
          <w:rFonts w:ascii="Times New Roman" w:hAnsi="Times New Roman"/>
          <w:sz w:val="28"/>
          <w:szCs w:val="28"/>
        </w:rPr>
        <w:t>MedTravelExpo</w:t>
      </w:r>
      <w:proofErr w:type="spellEnd"/>
      <w:r>
        <w:rPr>
          <w:rFonts w:ascii="Times New Roman" w:hAnsi="Times New Roman"/>
          <w:sz w:val="28"/>
          <w:szCs w:val="28"/>
        </w:rPr>
        <w:t>. Санатории. Курорты. Медицинские центры»;</w:t>
      </w:r>
    </w:p>
    <w:p w14:paraId="3C9F6FD2" w14:textId="1B33EA74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развития конкурентной среды и увеличения осведомленности субъектов бизнеса о текущих мерах приня</w:t>
      </w:r>
      <w:r w:rsidR="00B8086A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 xml:space="preserve"> участие в:</w:t>
      </w:r>
    </w:p>
    <w:p w14:paraId="4B919CBC" w14:textId="5ABEAC79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заседани</w:t>
      </w:r>
      <w:r w:rsidR="00B8086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Комитета по туризму и гостиничному бизнесу;</w:t>
      </w:r>
    </w:p>
    <w:p w14:paraId="2C36C325" w14:textId="4A58FEA6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кругл</w:t>
      </w:r>
      <w:r w:rsidR="00B8086A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стол</w:t>
      </w:r>
      <w:r w:rsidR="00B8086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«Организации аграрного туристического бизнеса»;</w:t>
      </w:r>
    </w:p>
    <w:p w14:paraId="4BE93D08" w14:textId="3F5ACD1E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кругл</w:t>
      </w:r>
      <w:r w:rsidR="00B8086A">
        <w:rPr>
          <w:rFonts w:ascii="Times New Roman" w:hAnsi="Times New Roman"/>
          <w:sz w:val="28"/>
          <w:szCs w:val="28"/>
        </w:rPr>
        <w:t xml:space="preserve">ом </w:t>
      </w:r>
      <w:r>
        <w:rPr>
          <w:rFonts w:ascii="Times New Roman" w:hAnsi="Times New Roman"/>
          <w:sz w:val="28"/>
          <w:szCs w:val="28"/>
        </w:rPr>
        <w:t>стол</w:t>
      </w:r>
      <w:r w:rsidR="00B8086A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>«Финансовая помощь для бизнес».</w:t>
      </w:r>
    </w:p>
    <w:p w14:paraId="4DD72689" w14:textId="02D3D8A5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Продолжается системная работа по продвижению туристского потенциала в социальных сетях: </w:t>
      </w:r>
      <w:hyperlink r:id="rId8" w:history="1">
        <w:r>
          <w:rPr>
            <w:rStyle w:val="ac"/>
            <w:rFonts w:ascii="Times New Roman" w:hAnsi="Times New Roman"/>
            <w:sz w:val="28"/>
            <w:szCs w:val="28"/>
          </w:rPr>
          <w:t>ВКонтакте</w:t>
        </w:r>
      </w:hyperlink>
      <w:r>
        <w:rPr>
          <w:rFonts w:ascii="Times New Roman" w:hAnsi="Times New Roman"/>
          <w:sz w:val="28"/>
          <w:szCs w:val="28"/>
        </w:rPr>
        <w:t xml:space="preserve">, </w:t>
      </w:r>
      <w:hyperlink r:id="rId9" w:history="1">
        <w:r>
          <w:rPr>
            <w:rStyle w:val="ac"/>
            <w:rFonts w:ascii="Times New Roman" w:hAnsi="Times New Roman"/>
            <w:sz w:val="28"/>
            <w:szCs w:val="28"/>
          </w:rPr>
          <w:t>Телеграм</w:t>
        </w:r>
      </w:hyperlink>
      <w:r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>
          <w:rPr>
            <w:rStyle w:val="ac"/>
            <w:rFonts w:ascii="Times New Roman" w:hAnsi="Times New Roman"/>
            <w:sz w:val="28"/>
            <w:szCs w:val="28"/>
          </w:rPr>
          <w:t>Дзен</w:t>
        </w:r>
      </w:hyperlink>
      <w:r>
        <w:rPr>
          <w:rFonts w:ascii="Times New Roman" w:hAnsi="Times New Roman"/>
          <w:sz w:val="28"/>
          <w:szCs w:val="28"/>
        </w:rPr>
        <w:t xml:space="preserve">. По состоянию на </w:t>
      </w:r>
      <w:r>
        <w:rPr>
          <w:rFonts w:ascii="Times New Roman" w:hAnsi="Times New Roman"/>
          <w:sz w:val="28"/>
          <w:szCs w:val="28"/>
        </w:rPr>
        <w:lastRenderedPageBreak/>
        <w:t>31.12.2023 года опубликовано 1098 постов. Вместе с тем проведено обновление информации о Югре в специальном разделе маркет-плейса «</w:t>
      </w:r>
      <w:proofErr w:type="spellStart"/>
      <w:r>
        <w:rPr>
          <w:rFonts w:ascii="Times New Roman" w:hAnsi="Times New Roman"/>
          <w:sz w:val="28"/>
          <w:szCs w:val="28"/>
        </w:rPr>
        <w:t>Wildberries</w:t>
      </w:r>
      <w:proofErr w:type="spellEnd"/>
      <w:r>
        <w:rPr>
          <w:rFonts w:ascii="Times New Roman" w:hAnsi="Times New Roman"/>
          <w:sz w:val="28"/>
          <w:szCs w:val="28"/>
        </w:rPr>
        <w:t xml:space="preserve">» – </w:t>
      </w:r>
      <w:hyperlink r:id="rId11" w:history="1">
        <w:proofErr w:type="spellStart"/>
        <w:r>
          <w:rPr>
            <w:rStyle w:val="ac"/>
            <w:rFonts w:ascii="Times New Roman" w:hAnsi="Times New Roman"/>
            <w:sz w:val="28"/>
            <w:szCs w:val="28"/>
          </w:rPr>
          <w:t>Wildberries.Travel</w:t>
        </w:r>
        <w:proofErr w:type="spellEnd"/>
        <w:r>
          <w:rPr>
            <w:rStyle w:val="ac"/>
            <w:rFonts w:ascii="Times New Roman" w:hAnsi="Times New Roman"/>
            <w:sz w:val="28"/>
            <w:szCs w:val="28"/>
          </w:rPr>
          <w:t>.</w:t>
        </w:r>
      </w:hyperlink>
    </w:p>
    <w:p w14:paraId="51EE2C50" w14:textId="7C0CBE5A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Медиаактивность поддерживается на уровне профессиональных и популярных СМИ Российской Федерации и автономного округа</w:t>
      </w:r>
      <w:r w:rsidR="006F55F1" w:rsidRPr="006F55F1">
        <w:rPr>
          <w:rFonts w:ascii="Times New Roman" w:hAnsi="Times New Roman"/>
          <w:sz w:val="28"/>
          <w:szCs w:val="28"/>
        </w:rPr>
        <w:t xml:space="preserve"> </w:t>
      </w:r>
      <w:r w:rsidR="006F55F1">
        <w:rPr>
          <w:rFonts w:ascii="Times New Roman" w:hAnsi="Times New Roman"/>
          <w:sz w:val="28"/>
          <w:szCs w:val="28"/>
        </w:rPr>
        <w:t>(</w:t>
      </w:r>
      <w:proofErr w:type="spellStart"/>
      <w:r w:rsidR="006F55F1">
        <w:rPr>
          <w:rFonts w:ascii="Times New Roman" w:hAnsi="Times New Roman"/>
          <w:sz w:val="28"/>
          <w:szCs w:val="28"/>
        </w:rPr>
        <w:t>Rtraveler</w:t>
      </w:r>
      <w:proofErr w:type="spellEnd"/>
      <w:r w:rsidR="007503C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503C8">
        <w:rPr>
          <w:rFonts w:ascii="Times New Roman" w:hAnsi="Times New Roman"/>
          <w:sz w:val="28"/>
          <w:szCs w:val="28"/>
        </w:rPr>
        <w:t>Ria</w:t>
      </w:r>
      <w:proofErr w:type="spellEnd"/>
      <w:r w:rsidR="007503C8">
        <w:rPr>
          <w:rFonts w:ascii="Times New Roman" w:hAnsi="Times New Roman"/>
          <w:sz w:val="28"/>
          <w:szCs w:val="28"/>
        </w:rPr>
        <w:t xml:space="preserve">-новости, </w:t>
      </w:r>
      <w:proofErr w:type="spellStart"/>
      <w:r w:rsidR="007503C8">
        <w:rPr>
          <w:rFonts w:ascii="Times New Roman" w:hAnsi="Times New Roman"/>
          <w:sz w:val="28"/>
          <w:szCs w:val="28"/>
        </w:rPr>
        <w:t>Ura.news</w:t>
      </w:r>
      <w:proofErr w:type="spellEnd"/>
      <w:r w:rsidR="007503C8">
        <w:rPr>
          <w:rFonts w:ascii="Times New Roman" w:hAnsi="Times New Roman"/>
          <w:sz w:val="28"/>
          <w:szCs w:val="28"/>
        </w:rPr>
        <w:t>,</w:t>
      </w:r>
      <w:r w:rsidR="007503C8" w:rsidRPr="007503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03C8">
        <w:rPr>
          <w:rFonts w:ascii="Times New Roman" w:hAnsi="Times New Roman"/>
          <w:sz w:val="28"/>
          <w:szCs w:val="28"/>
        </w:rPr>
        <w:t>Siapress</w:t>
      </w:r>
      <w:proofErr w:type="spellEnd"/>
      <w:r w:rsidR="007503C8">
        <w:rPr>
          <w:rFonts w:ascii="Times New Roman" w:hAnsi="Times New Roman"/>
          <w:sz w:val="28"/>
          <w:szCs w:val="28"/>
        </w:rPr>
        <w:t>,</w:t>
      </w:r>
      <w:r w:rsidR="007503C8" w:rsidRPr="007503C8">
        <w:rPr>
          <w:rFonts w:ascii="Times New Roman" w:hAnsi="Times New Roman"/>
          <w:sz w:val="28"/>
          <w:szCs w:val="28"/>
        </w:rPr>
        <w:t xml:space="preserve"> </w:t>
      </w:r>
      <w:r w:rsidR="007503C8">
        <w:rPr>
          <w:rFonts w:ascii="Times New Roman" w:hAnsi="Times New Roman"/>
          <w:sz w:val="28"/>
          <w:szCs w:val="28"/>
        </w:rPr>
        <w:t>Известия).</w:t>
      </w:r>
    </w:p>
    <w:p w14:paraId="7832BCBB" w14:textId="4E765C4D" w:rsidR="00EA2FB5" w:rsidRDefault="007503C8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EA2FB5">
        <w:rPr>
          <w:rFonts w:ascii="Times New Roman" w:hAnsi="Times New Roman"/>
          <w:sz w:val="28"/>
          <w:szCs w:val="28"/>
        </w:rPr>
        <w:t xml:space="preserve"> 2023 году состоялся летний пресс-тур «Приполярный Урал – </w:t>
      </w:r>
      <w:proofErr w:type="spellStart"/>
      <w:r w:rsidR="00EA2FB5">
        <w:rPr>
          <w:rFonts w:ascii="Times New Roman" w:hAnsi="Times New Roman"/>
          <w:sz w:val="28"/>
          <w:szCs w:val="28"/>
        </w:rPr>
        <w:t>ВизитЮгра</w:t>
      </w:r>
      <w:proofErr w:type="spellEnd"/>
      <w:r w:rsidR="00EA2FB5">
        <w:rPr>
          <w:rFonts w:ascii="Times New Roman" w:hAnsi="Times New Roman"/>
          <w:sz w:val="28"/>
          <w:szCs w:val="28"/>
        </w:rPr>
        <w:t xml:space="preserve"> 2023». </w:t>
      </w:r>
    </w:p>
    <w:p w14:paraId="4D7F54A5" w14:textId="77777777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Пресс-группу возглавляли популярные блогеры арктического направления, держатели рекордов книги «Гиннесса» по автомобильным путешествиям на зимниках и в арктических зонах. В состав пресс-группы также вошли югорские блогеры и представители СМИ, корреспонденты и представители лидеров рейтинга «Медиалогии» из числа лучших по цитируемости: социальных медиа, информационных агентств и интернет-изданий («РБК», «МИЦ «Известия», «РИА-новости»). Суммарный объем охвата материалов пресс-группы на сегодня составляет 1 579 912 просмотров.</w:t>
      </w:r>
    </w:p>
    <w:p w14:paraId="28DF262B" w14:textId="77777777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Зимний пресс-тур «</w:t>
      </w:r>
      <w:proofErr w:type="spellStart"/>
      <w:r>
        <w:rPr>
          <w:rFonts w:ascii="Times New Roman" w:hAnsi="Times New Roman"/>
          <w:sz w:val="28"/>
          <w:szCs w:val="28"/>
        </w:rPr>
        <w:t>ВизитЮгра</w:t>
      </w:r>
      <w:proofErr w:type="spellEnd"/>
      <w:r>
        <w:rPr>
          <w:rFonts w:ascii="Times New Roman" w:hAnsi="Times New Roman"/>
          <w:sz w:val="28"/>
          <w:szCs w:val="28"/>
        </w:rPr>
        <w:t xml:space="preserve"> – Сказка Здесь!» проходил с 29 ноября по 5 декабря. За 6 дней тревел-блогеры и представители СМИ, в том числе </w:t>
      </w:r>
      <w:proofErr w:type="spellStart"/>
      <w:r>
        <w:rPr>
          <w:rFonts w:ascii="Times New Roman" w:hAnsi="Times New Roman"/>
          <w:sz w:val="28"/>
          <w:szCs w:val="28"/>
        </w:rPr>
        <w:t>Махил</w:t>
      </w:r>
      <w:proofErr w:type="spellEnd"/>
      <w:r>
        <w:rPr>
          <w:rFonts w:ascii="Times New Roman" w:hAnsi="Times New Roman"/>
          <w:sz w:val="28"/>
          <w:szCs w:val="28"/>
        </w:rPr>
        <w:t xml:space="preserve"> Снейп (автор видеоблога «Голландец в России»), посетили ряд объектов туристского интереса. Суммарный объем охвата материалов пресс-группы на текущий момент составляет 16 620 840 просмотров.</w:t>
      </w:r>
    </w:p>
    <w:p w14:paraId="13C80C80" w14:textId="726D2CE5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Центром компетенций проводился прием съемочных групп федеральных телеканалов</w:t>
      </w:r>
      <w:r w:rsidR="007503C8">
        <w:rPr>
          <w:rFonts w:ascii="Times New Roman" w:hAnsi="Times New Roman"/>
          <w:sz w:val="28"/>
          <w:szCs w:val="28"/>
        </w:rPr>
        <w:t>:</w:t>
      </w:r>
    </w:p>
    <w:p w14:paraId="7C944BE9" w14:textId="45387C71" w:rsidR="00EA2FB5" w:rsidRDefault="007503C8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A2FB5">
        <w:rPr>
          <w:rFonts w:ascii="Times New Roman" w:hAnsi="Times New Roman"/>
          <w:sz w:val="28"/>
          <w:szCs w:val="28"/>
        </w:rPr>
        <w:t xml:space="preserve"> «Первый канал» проводил съемки программы «Непутевые заметки» в г. Когалым, д. </w:t>
      </w:r>
      <w:proofErr w:type="spellStart"/>
      <w:r w:rsidR="00EA2FB5">
        <w:rPr>
          <w:rFonts w:ascii="Times New Roman" w:hAnsi="Times New Roman"/>
          <w:sz w:val="28"/>
          <w:szCs w:val="28"/>
        </w:rPr>
        <w:t>Русскинская</w:t>
      </w:r>
      <w:proofErr w:type="spellEnd"/>
      <w:r w:rsidR="00EA2FB5">
        <w:rPr>
          <w:rFonts w:ascii="Times New Roman" w:hAnsi="Times New Roman"/>
          <w:sz w:val="28"/>
          <w:szCs w:val="28"/>
        </w:rPr>
        <w:t>, г. Сургут, Сургутский район, г. Ханты-Мансийск. Премьера выпуска состоится в период с апреля по май 2024 года.</w:t>
      </w:r>
    </w:p>
    <w:p w14:paraId="60311970" w14:textId="3958FCE6" w:rsidR="00EA2FB5" w:rsidRDefault="007A22B1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A2FB5">
        <w:rPr>
          <w:rFonts w:ascii="Times New Roman" w:hAnsi="Times New Roman"/>
          <w:sz w:val="28"/>
          <w:szCs w:val="28"/>
        </w:rPr>
        <w:t xml:space="preserve"> съемочная группа телеканала «НТВ» </w:t>
      </w:r>
      <w:r>
        <w:rPr>
          <w:rFonts w:ascii="Times New Roman" w:hAnsi="Times New Roman"/>
          <w:sz w:val="28"/>
          <w:szCs w:val="28"/>
        </w:rPr>
        <w:t xml:space="preserve">посетила Югру </w:t>
      </w:r>
      <w:r w:rsidR="00EA2FB5">
        <w:rPr>
          <w:rFonts w:ascii="Times New Roman" w:hAnsi="Times New Roman"/>
          <w:sz w:val="28"/>
          <w:szCs w:val="28"/>
        </w:rPr>
        <w:t xml:space="preserve">с целью съемок выпуска «Поедем, поедим!». Программа посещения включала самые яркие магниты Югры, и лучшие рестораны автономного округа. Ссылка на выпуск - </w:t>
      </w:r>
      <w:hyperlink r:id="rId12" w:history="1">
        <w:r w:rsidR="00EA2FB5">
          <w:rPr>
            <w:rStyle w:val="ac"/>
            <w:rFonts w:ascii="Times New Roman" w:hAnsi="Times New Roman"/>
            <w:sz w:val="28"/>
            <w:szCs w:val="28"/>
          </w:rPr>
          <w:t>https://www.ntv.ru/peredacha/poedem_poedim/m24320/o749267</w:t>
        </w:r>
      </w:hyperlink>
      <w:r w:rsidR="00EA2FB5">
        <w:rPr>
          <w:rFonts w:ascii="Times New Roman" w:hAnsi="Times New Roman"/>
          <w:sz w:val="28"/>
          <w:szCs w:val="28"/>
        </w:rPr>
        <w:t>.</w:t>
      </w:r>
    </w:p>
    <w:p w14:paraId="56A9B7D3" w14:textId="77777777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 крупных событийных мероприятиях организованы интерактивные площадки </w:t>
      </w:r>
      <w:proofErr w:type="spellStart"/>
      <w:r>
        <w:rPr>
          <w:rFonts w:ascii="Times New Roman" w:hAnsi="Times New Roman"/>
          <w:sz w:val="28"/>
          <w:szCs w:val="28"/>
        </w:rPr>
        <w:t>ВизитЮгра</w:t>
      </w:r>
      <w:proofErr w:type="spellEnd"/>
      <w:r>
        <w:rPr>
          <w:rFonts w:ascii="Times New Roman" w:hAnsi="Times New Roman"/>
          <w:sz w:val="28"/>
          <w:szCs w:val="28"/>
        </w:rPr>
        <w:t>, обеспечено информационное сопровождение и продвижение:</w:t>
      </w:r>
    </w:p>
    <w:p w14:paraId="47FE0733" w14:textId="3385A55F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Югорский лыжный марафон;</w:t>
      </w:r>
    </w:p>
    <w:p w14:paraId="7766F86E" w14:textId="0CF7831F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Туристический фестиваль им. Андрея </w:t>
      </w:r>
      <w:proofErr w:type="spellStart"/>
      <w:r>
        <w:rPr>
          <w:rFonts w:ascii="Times New Roman" w:hAnsi="Times New Roman"/>
          <w:sz w:val="28"/>
          <w:szCs w:val="28"/>
        </w:rPr>
        <w:t>Терезова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7503C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г. Нягань);</w:t>
      </w:r>
    </w:p>
    <w:p w14:paraId="44558A0C" w14:textId="3EF476C1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Этнофестиваль</w:t>
      </w:r>
      <w:proofErr w:type="spellEnd"/>
      <w:r>
        <w:rPr>
          <w:rFonts w:ascii="Times New Roman" w:hAnsi="Times New Roman"/>
          <w:sz w:val="28"/>
          <w:szCs w:val="28"/>
        </w:rPr>
        <w:t xml:space="preserve"> «Югорские </w:t>
      </w:r>
      <w:proofErr w:type="spellStart"/>
      <w:r>
        <w:rPr>
          <w:rFonts w:ascii="Times New Roman" w:hAnsi="Times New Roman"/>
          <w:sz w:val="28"/>
          <w:szCs w:val="28"/>
        </w:rPr>
        <w:t>обласа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14:paraId="209DD264" w14:textId="1D7172EC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X-WATERS UGRA;</w:t>
      </w:r>
    </w:p>
    <w:p w14:paraId="619D0C9C" w14:textId="0CC90739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Вертикальный забег с олимпийцами;</w:t>
      </w:r>
    </w:p>
    <w:p w14:paraId="60F9A50C" w14:textId="44E72E6C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Всероссийский день бега «Кросс Нации;</w:t>
      </w:r>
    </w:p>
    <w:p w14:paraId="643D982C" w14:textId="59A22DA5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Русская классика ВХЛ;</w:t>
      </w:r>
    </w:p>
    <w:p w14:paraId="2A03AF85" w14:textId="3DD4DC6D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Контрольные тренировки сборной команды России «Югория. Первый снег».</w:t>
      </w:r>
    </w:p>
    <w:p w14:paraId="6A714B7E" w14:textId="51677D74" w:rsidR="00EA2FB5" w:rsidRDefault="00B8086A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EA2FB5">
        <w:rPr>
          <w:rFonts w:ascii="Times New Roman" w:hAnsi="Times New Roman"/>
          <w:sz w:val="28"/>
          <w:szCs w:val="28"/>
        </w:rPr>
        <w:t>рганизовано исследование по разработке модели загородных объектов туристической инфраструктуры автономного округа. Результатами исследований стали 4 модели загородных объектов, которые впоследствии будут базовыми вариантами наращивания инфраструктурного туристического каркаса Югры по линии комфортабельного размещения вне городской черты.</w:t>
      </w:r>
    </w:p>
    <w:p w14:paraId="176A1A3C" w14:textId="6D183272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подписаны соглашения о сотрудничестве в сфере туризма</w:t>
      </w:r>
      <w:r w:rsidR="00B8086A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:</w:t>
      </w:r>
    </w:p>
    <w:p w14:paraId="5C7D3421" w14:textId="0A44B83D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Ассоциация туроператоров России. Предусмотрена совместная работа по продвижению туристского потенциала Югры;</w:t>
      </w:r>
    </w:p>
    <w:p w14:paraId="4A45C901" w14:textId="54543055" w:rsidR="00EA2FB5" w:rsidRDefault="00EA2FB5" w:rsidP="00EA2F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Единая платформа для онлайн-продаж и управления коллективными средствами размещения «</w:t>
      </w:r>
      <w:proofErr w:type="spellStart"/>
      <w:r>
        <w:rPr>
          <w:rFonts w:ascii="Times New Roman" w:hAnsi="Times New Roman"/>
          <w:sz w:val="28"/>
          <w:szCs w:val="28"/>
        </w:rPr>
        <w:t>TravelLine</w:t>
      </w:r>
      <w:proofErr w:type="spellEnd"/>
      <w:r>
        <w:rPr>
          <w:rFonts w:ascii="Times New Roman" w:hAnsi="Times New Roman"/>
          <w:sz w:val="28"/>
          <w:szCs w:val="28"/>
        </w:rPr>
        <w:t>». Компания является самым крупным оператором по туристическому кэш-бэку в Российской Федерации.</w:t>
      </w:r>
    </w:p>
    <w:p w14:paraId="59D72D48" w14:textId="77777777" w:rsidR="00581AD3" w:rsidRPr="009D52FA" w:rsidRDefault="00581AD3" w:rsidP="004219F7">
      <w:pPr>
        <w:spacing w:after="12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024720" w14:textId="77777777" w:rsidR="00572377" w:rsidRPr="009D52FA" w:rsidRDefault="003C70A3" w:rsidP="005723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2FA">
        <w:rPr>
          <w:rFonts w:ascii="Times New Roman" w:hAnsi="Times New Roman" w:cs="Times New Roman"/>
          <w:b/>
          <w:sz w:val="28"/>
          <w:szCs w:val="28"/>
        </w:rPr>
        <w:t>Развитие сельскохозяйственной кооперации и поддержка фермеров</w:t>
      </w:r>
      <w:r w:rsidRPr="009D52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F653C7" w14:textId="75704BD8" w:rsidR="00041B01" w:rsidRDefault="00EA2FB5" w:rsidP="00EA2FB5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41B01" w:rsidRPr="00EA2FB5">
        <w:rPr>
          <w:rFonts w:ascii="Times New Roman" w:hAnsi="Times New Roman"/>
          <w:iCs/>
          <w:sz w:val="28"/>
          <w:szCs w:val="28"/>
        </w:rPr>
        <w:t>В 2023 году организовано участие 10 товаропроизводителей Югры в международной выставке «</w:t>
      </w:r>
      <w:r w:rsidR="00041B01">
        <w:rPr>
          <w:rFonts w:ascii="Times New Roman" w:hAnsi="Times New Roman"/>
          <w:iCs/>
          <w:sz w:val="28"/>
          <w:szCs w:val="28"/>
        </w:rPr>
        <w:t xml:space="preserve">ПРОДЭКСПО-2023» с застройкой индивидуального коллективного стенда. На стенде Югры были представлены колбасные изделия, рыбные консервы, продукция из оленины, грибы, кедровая продукция, кондитерские изделия с добавлением дикоросов, варенье </w:t>
      </w:r>
      <w:r w:rsidR="00041B01">
        <w:rPr>
          <w:rFonts w:ascii="Times New Roman" w:hAnsi="Times New Roman"/>
          <w:iCs/>
          <w:sz w:val="28"/>
          <w:szCs w:val="28"/>
        </w:rPr>
        <w:lastRenderedPageBreak/>
        <w:t>и джемы, иван-чай, в том числе продукция компаний, которые являются сертифицированными производителями органической продукции.</w:t>
      </w:r>
    </w:p>
    <w:p w14:paraId="3E4DA4A0" w14:textId="77777777" w:rsidR="00041B01" w:rsidRDefault="00041B01" w:rsidP="00041B01">
      <w:pPr>
        <w:tabs>
          <w:tab w:val="left" w:pos="426"/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Также на полях выставки подписано соглашение о взаимодействии между Фондом развития Югры и Корпорацией «МСП», нацеленного на развитие субъектов МСП из числа сельскохозяйственных товаропроизводителей, расширение рынков сбыта производимой ими продукции.</w:t>
      </w:r>
    </w:p>
    <w:p w14:paraId="43B16245" w14:textId="77777777" w:rsidR="00041B01" w:rsidRDefault="00041B01" w:rsidP="00041B01">
      <w:pPr>
        <w:tabs>
          <w:tab w:val="left" w:pos="426"/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 рамках выставки производители из Югры приняли участие в международном дегустационном конкурсе «Лучший продукт-2023» по итогам, которого семь компаний удостоены золотыми медалями и золотой звездой.</w:t>
      </w:r>
    </w:p>
    <w:p w14:paraId="6F9EA04E" w14:textId="51C68146" w:rsidR="00041B01" w:rsidRDefault="00041B01" w:rsidP="00041B01">
      <w:pPr>
        <w:tabs>
          <w:tab w:val="left" w:pos="426"/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Проведена серия «Югорской фермерской ярмарки выходного дня» на территории муниципальных образований г. Сургут, г. Ханты-Мансийск, г. Нефтеюганск, г. Нижневартовск, г. Нягань. В ярмарке приняли участие 120 товаропроизводителей из Югры и других регионов Российской Федерации. Указанные ярмарочные мероприятия посетили более 5,5 тысяч человек.</w:t>
      </w:r>
    </w:p>
    <w:p w14:paraId="5F2D29E9" w14:textId="77BD5989" w:rsidR="00041B01" w:rsidRPr="00EA2FB5" w:rsidRDefault="00041B01" w:rsidP="00EA2FB5">
      <w:pPr>
        <w:tabs>
          <w:tab w:val="left" w:pos="426"/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Организовано участие во втором гастрономическом фестивале «Вкусы России</w:t>
      </w:r>
      <w:r w:rsidR="00C877A2">
        <w:rPr>
          <w:rFonts w:ascii="Times New Roman" w:hAnsi="Times New Roman"/>
          <w:iCs/>
          <w:sz w:val="28"/>
          <w:szCs w:val="28"/>
        </w:rPr>
        <w:t xml:space="preserve"> (г.</w:t>
      </w:r>
      <w:r>
        <w:rPr>
          <w:rFonts w:ascii="Times New Roman" w:hAnsi="Times New Roman"/>
          <w:iCs/>
          <w:sz w:val="28"/>
          <w:szCs w:val="28"/>
        </w:rPr>
        <w:t xml:space="preserve"> Москв</w:t>
      </w:r>
      <w:r w:rsidR="00C877A2">
        <w:rPr>
          <w:rFonts w:ascii="Times New Roman" w:hAnsi="Times New Roman"/>
          <w:iCs/>
          <w:sz w:val="28"/>
          <w:szCs w:val="28"/>
        </w:rPr>
        <w:t>а)</w:t>
      </w:r>
      <w:r>
        <w:rPr>
          <w:rFonts w:ascii="Times New Roman" w:hAnsi="Times New Roman"/>
          <w:iCs/>
          <w:sz w:val="28"/>
          <w:szCs w:val="28"/>
        </w:rPr>
        <w:t>,</w:t>
      </w:r>
      <w:r w:rsidR="00C877A2">
        <w:rPr>
          <w:rFonts w:ascii="Times New Roman" w:hAnsi="Times New Roman"/>
          <w:iCs/>
          <w:sz w:val="28"/>
          <w:szCs w:val="28"/>
        </w:rPr>
        <w:t xml:space="preserve"> в рамках фестиваля</w:t>
      </w:r>
      <w:r>
        <w:rPr>
          <w:rFonts w:ascii="Times New Roman" w:hAnsi="Times New Roman"/>
          <w:iCs/>
          <w:sz w:val="28"/>
          <w:szCs w:val="28"/>
        </w:rPr>
        <w:t xml:space="preserve"> представл</w:t>
      </w:r>
      <w:r w:rsidR="00C877A2">
        <w:rPr>
          <w:rFonts w:ascii="Times New Roman" w:hAnsi="Times New Roman"/>
          <w:iCs/>
          <w:sz w:val="28"/>
          <w:szCs w:val="28"/>
        </w:rPr>
        <w:t>ено</w:t>
      </w:r>
      <w:r>
        <w:rPr>
          <w:rFonts w:ascii="Times New Roman" w:hAnsi="Times New Roman"/>
          <w:iCs/>
          <w:sz w:val="28"/>
          <w:szCs w:val="28"/>
        </w:rPr>
        <w:t xml:space="preserve"> 12 гастрономических брендов. Оператором регионального павильона выступил СПСК «Ермак-</w:t>
      </w:r>
      <w:r w:rsidRPr="00EA2FB5">
        <w:rPr>
          <w:rFonts w:ascii="Times New Roman" w:hAnsi="Times New Roman"/>
          <w:iCs/>
          <w:sz w:val="28"/>
          <w:szCs w:val="28"/>
        </w:rPr>
        <w:t>Агро».</w:t>
      </w:r>
    </w:p>
    <w:p w14:paraId="160E288E" w14:textId="3C7EA5B3" w:rsidR="00EA2FB5" w:rsidRPr="00EA2FB5" w:rsidRDefault="00EA2FB5" w:rsidP="00EA2FB5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A2FB5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Организовано участие югорских компаний-производителей органической продукции а также компаний, которые уже начали работу по сертификации органики (ООО «Ягоды Югры», ООО «Регион-К», ООО «Дикоросы Югры», АО «Саранпаульская оленеводческая компания», ИП </w:t>
      </w:r>
      <w:proofErr w:type="spellStart"/>
      <w:r w:rsidRPr="00EA2FB5">
        <w:rPr>
          <w:rFonts w:ascii="Times New Roman" w:eastAsia="Times New Roman" w:hAnsi="Times New Roman"/>
          <w:sz w:val="28"/>
          <w:szCs w:val="28"/>
          <w:lang w:eastAsia="ru-RU"/>
        </w:rPr>
        <w:t>Клищенко</w:t>
      </w:r>
      <w:proofErr w:type="spellEnd"/>
      <w:r w:rsidRPr="00EA2FB5">
        <w:rPr>
          <w:rFonts w:ascii="Times New Roman" w:eastAsia="Times New Roman" w:hAnsi="Times New Roman"/>
          <w:sz w:val="28"/>
          <w:szCs w:val="28"/>
          <w:lang w:eastAsia="ru-RU"/>
        </w:rPr>
        <w:t xml:space="preserve"> О.А., ООО «Чайный Дом «ЧИСТОТА» ) в Первой всероссийской ярмарке органической продукции, которая прошла в г. Санкт-Петербурге в рамках Х Невского международного экологического конгресса с 25 по 28 мая 2023 г. </w:t>
      </w:r>
    </w:p>
    <w:p w14:paraId="3620D315" w14:textId="61A79A1E" w:rsidR="00EA2FB5" w:rsidRPr="00EA2FB5" w:rsidRDefault="00EA2FB5" w:rsidP="00EA2FB5">
      <w:pPr>
        <w:tabs>
          <w:tab w:val="left" w:pos="426"/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EA2FB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 ярмарке Фонду развития Югры вручена благодарность Министерства сельского хозяйства РФ за вклад в развитие российской органической продукции. </w:t>
      </w:r>
    </w:p>
    <w:p w14:paraId="5C97BCEF" w14:textId="03728278" w:rsidR="00C877A2" w:rsidRPr="00C877A2" w:rsidRDefault="00C877A2" w:rsidP="00041B01">
      <w:pPr>
        <w:tabs>
          <w:tab w:val="left" w:pos="426"/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C877A2">
        <w:rPr>
          <w:rFonts w:ascii="Times New Roman" w:hAnsi="Times New Roman"/>
          <w:iCs/>
          <w:sz w:val="28"/>
          <w:szCs w:val="28"/>
        </w:rPr>
        <w:t xml:space="preserve">В рамках проекта </w:t>
      </w:r>
      <w:r w:rsidRPr="00C877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«Школа начинающего фермера «Я-фермер Югры» </w:t>
      </w:r>
      <w:r w:rsidR="005D08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041B01" w:rsidRPr="00C877A2">
        <w:rPr>
          <w:rFonts w:ascii="Times New Roman" w:hAnsi="Times New Roman"/>
          <w:iCs/>
          <w:sz w:val="28"/>
          <w:szCs w:val="28"/>
        </w:rPr>
        <w:t>роведены обучающие курсы по направлениям</w:t>
      </w:r>
      <w:r w:rsidRPr="00C877A2">
        <w:rPr>
          <w:rFonts w:ascii="Times New Roman" w:hAnsi="Times New Roman"/>
          <w:iCs/>
          <w:sz w:val="28"/>
          <w:szCs w:val="28"/>
        </w:rPr>
        <w:t xml:space="preserve"> </w:t>
      </w:r>
      <w:r w:rsidRPr="00C877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«Растениеводство», «Животноводство», «Кормозаготовка»</w:t>
      </w:r>
      <w:r w:rsidR="005D08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14:paraId="39165596" w14:textId="77777777" w:rsidR="00041B01" w:rsidRDefault="00041B01" w:rsidP="00041B01">
      <w:pPr>
        <w:tabs>
          <w:tab w:val="left" w:pos="426"/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Заключены 10 соглашений по вопросам подачи документов в Департамент промышленности Ханты-Мансийского автономного округа – Югры в целях получения грантов, в результате рассмотрения документов: </w:t>
      </w:r>
    </w:p>
    <w:p w14:paraId="28DE2DD7" w14:textId="4E770B2F" w:rsidR="00041B01" w:rsidRDefault="00041B01" w:rsidP="00041B01">
      <w:pPr>
        <w:tabs>
          <w:tab w:val="left" w:pos="426"/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 по 4 (четырем) проектам принято положительное решение о предоставлении грантов в форме субсидии на реализацию проектов «</w:t>
      </w:r>
      <w:proofErr w:type="spellStart"/>
      <w:r>
        <w:rPr>
          <w:rFonts w:ascii="Times New Roman" w:hAnsi="Times New Roman"/>
          <w:iCs/>
          <w:sz w:val="28"/>
          <w:szCs w:val="28"/>
        </w:rPr>
        <w:t>Агростартап</w:t>
      </w:r>
      <w:proofErr w:type="spellEnd"/>
      <w:r>
        <w:rPr>
          <w:rFonts w:ascii="Times New Roman" w:hAnsi="Times New Roman"/>
          <w:iCs/>
          <w:sz w:val="28"/>
          <w:szCs w:val="28"/>
        </w:rPr>
        <w:t>», общий объем инвестиций 15,36 млн. руб</w:t>
      </w:r>
      <w:r w:rsidR="001E018D">
        <w:rPr>
          <w:rFonts w:ascii="Times New Roman" w:hAnsi="Times New Roman"/>
          <w:iCs/>
          <w:sz w:val="28"/>
          <w:szCs w:val="28"/>
        </w:rPr>
        <w:t>лей</w:t>
      </w:r>
    </w:p>
    <w:p w14:paraId="6E915C7B" w14:textId="1B344270" w:rsidR="00041B01" w:rsidRDefault="00041B01" w:rsidP="00041B01">
      <w:pPr>
        <w:tabs>
          <w:tab w:val="left" w:pos="426"/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 по 4 (четырем) соглашениям принято положительное решение о предоставлении грантов в форме субсидии на реализацию проектов «Семейная ферма», общий объем инвестиций 80 млн. руб</w:t>
      </w:r>
      <w:r w:rsidR="001E018D">
        <w:rPr>
          <w:rFonts w:ascii="Times New Roman" w:hAnsi="Times New Roman"/>
          <w:iCs/>
          <w:sz w:val="28"/>
          <w:szCs w:val="28"/>
        </w:rPr>
        <w:t>лей</w:t>
      </w:r>
    </w:p>
    <w:p w14:paraId="5995D08B" w14:textId="6C2ED161" w:rsidR="00041B01" w:rsidRDefault="00041B01" w:rsidP="00041B01">
      <w:pPr>
        <w:tabs>
          <w:tab w:val="left" w:pos="426"/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 по 1 (одному) соглашению принято положительное решение о предоставлении гранта в форме субсидии на финансовое обеспечение затрат на реализацию проектов по заготовке и переработке дикоросов, общий объем инвестиций 2,38 млн. руб</w:t>
      </w:r>
      <w:r w:rsidR="001E018D">
        <w:rPr>
          <w:rFonts w:ascii="Times New Roman" w:hAnsi="Times New Roman"/>
          <w:iCs/>
          <w:sz w:val="28"/>
          <w:szCs w:val="28"/>
        </w:rPr>
        <w:t>лей</w:t>
      </w:r>
    </w:p>
    <w:p w14:paraId="42A11370" w14:textId="77777777" w:rsidR="00041B01" w:rsidRDefault="00041B01" w:rsidP="00041B01">
      <w:pPr>
        <w:tabs>
          <w:tab w:val="left" w:pos="0"/>
          <w:tab w:val="left" w:pos="426"/>
        </w:tabs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Совместно с АНО «Российская система качества» проведен практический семинар на тему «Производство и реализация органической продукции, продукции «Халяль», участниками стали 45 человек.</w:t>
      </w:r>
    </w:p>
    <w:p w14:paraId="38738601" w14:textId="5CAA5342" w:rsidR="00041B01" w:rsidRDefault="00041B01" w:rsidP="00041B01">
      <w:pPr>
        <w:tabs>
          <w:tab w:val="left" w:pos="426"/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Проведены выездные проверки и лабораторные исследования инспекторами АНО «Российская система качества» четырех югорских компаний (ООО «Регион-К», ООО «НРКК Санта-Мария», АО «Рыбокомбинат Ханты-Мансийский», КФХ </w:t>
      </w:r>
      <w:proofErr w:type="spellStart"/>
      <w:r>
        <w:rPr>
          <w:rFonts w:ascii="Times New Roman" w:hAnsi="Times New Roman"/>
          <w:iCs/>
          <w:sz w:val="28"/>
          <w:szCs w:val="28"/>
        </w:rPr>
        <w:t>Чуриловича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Ф.В.), по итогам которых компании успешно прошли сертификацию продукции на соответствие стандартам «Халяль».</w:t>
      </w:r>
    </w:p>
    <w:p w14:paraId="42E8B7CB" w14:textId="77777777" w:rsidR="00041B01" w:rsidRDefault="00041B01" w:rsidP="00041B01">
      <w:pPr>
        <w:spacing w:after="0" w:line="360" w:lineRule="auto"/>
        <w:ind w:right="-1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Cs/>
          <w:sz w:val="28"/>
          <w:szCs w:val="28"/>
        </w:rPr>
        <w:t xml:space="preserve">Проведена выездная комиссия представителями АНО «Российская система качества» с взятием проб образцов продукции для проведения </w:t>
      </w:r>
      <w:r>
        <w:rPr>
          <w:rFonts w:ascii="Times New Roman" w:hAnsi="Times New Roman"/>
          <w:iCs/>
          <w:sz w:val="28"/>
          <w:szCs w:val="28"/>
        </w:rPr>
        <w:lastRenderedPageBreak/>
        <w:t xml:space="preserve">добровольной органической сертификации 5 югорских производителей (АО «Саранпаульская оленеводческая компания», ООО «Чайный дом «Чистота», ИП </w:t>
      </w:r>
      <w:proofErr w:type="spellStart"/>
      <w:r>
        <w:rPr>
          <w:rFonts w:ascii="Times New Roman" w:hAnsi="Times New Roman"/>
          <w:iCs/>
          <w:sz w:val="28"/>
          <w:szCs w:val="28"/>
        </w:rPr>
        <w:t>Клищенко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О.В., СПРК «Волна, ООО «Дикоросы Югры»),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две компании прошли сертификацию продукции, соответствующей требованиям органического производства (ИП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Клищенко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Ольга Александровна, СПРК «Волна») и одна компания (ООО «Ягоды Югры») получила сертификат на расширение перечня продукции, соответствующей требованиям органического производства.</w:t>
      </w:r>
    </w:p>
    <w:p w14:paraId="4722A9B5" w14:textId="77777777" w:rsidR="00041B01" w:rsidRDefault="00041B01" w:rsidP="00041B01">
      <w:pPr>
        <w:tabs>
          <w:tab w:val="left" w:pos="426"/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 Ханты-Мансийске с 8 по 10 декабря 2023 г. прошла ХХVI выставка-ярмарка окружных товаропроизводителей «Товары земли Югорской».</w:t>
      </w:r>
    </w:p>
    <w:p w14:paraId="17D55CA6" w14:textId="77777777" w:rsidR="00041B01" w:rsidRDefault="00041B01" w:rsidP="00041B01">
      <w:pPr>
        <w:tabs>
          <w:tab w:val="left" w:pos="426"/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 выставке-ярмарке приняло участие 201 предприятие из 21 муниципалитета Югры. Впервые отдельно представлены товаропроизводители, успешно прошедшие добровольную сертификацию органического производства и производства продукции соответствующим стандартам «Халяль», которую проводит АНО «Российская система качества».</w:t>
      </w:r>
    </w:p>
    <w:p w14:paraId="6B73490F" w14:textId="5B236F19" w:rsidR="00041B01" w:rsidRDefault="00041B01" w:rsidP="00041B01">
      <w:pPr>
        <w:tabs>
          <w:tab w:val="left" w:pos="426"/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12 (двенадцати) товаропроизводителям Югры предоставлены услуги по развитию бизнеса в сфере сельского хозяйства в перечень, которых входит содействие в разработке маркетинговой стратегии и планов, рекламной кампании, дизайна, разработке и продвижении бренда, организация системы сбыта продукции, разработка бизнес-плана проекта.</w:t>
      </w:r>
    </w:p>
    <w:p w14:paraId="78B3EC53" w14:textId="5E41801C" w:rsidR="005C4755" w:rsidRPr="0043044E" w:rsidRDefault="005C4755" w:rsidP="00572377">
      <w:pPr>
        <w:tabs>
          <w:tab w:val="left" w:pos="851"/>
          <w:tab w:val="left" w:pos="1134"/>
        </w:tabs>
        <w:spacing w:after="12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313A224" w14:textId="77777777" w:rsidR="006F55F1" w:rsidRDefault="006F55F1" w:rsidP="006F55F1">
      <w:pPr>
        <w:pStyle w:val="a3"/>
        <w:spacing w:after="0" w:line="360" w:lineRule="auto"/>
        <w:ind w:left="0"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_Toc100063318"/>
      <w:bookmarkStart w:id="2" w:name="_Toc100063501"/>
      <w:bookmarkStart w:id="3" w:name="_Toc107928730"/>
      <w:bookmarkStart w:id="4" w:name="_Toc44923349"/>
      <w:r>
        <w:rPr>
          <w:rFonts w:ascii="Times New Roman" w:hAnsi="Times New Roman"/>
          <w:b/>
          <w:sz w:val="28"/>
          <w:szCs w:val="28"/>
        </w:rPr>
        <w:t>Проекты обучения, позиционирования и информационного развития.  Инвестиционное продвижение автономного округа, взаимодействие со СМИ</w:t>
      </w:r>
      <w:bookmarkEnd w:id="1"/>
      <w:bookmarkEnd w:id="2"/>
      <w:bookmarkEnd w:id="3"/>
    </w:p>
    <w:p w14:paraId="13401553" w14:textId="77777777" w:rsidR="006F55F1" w:rsidRDefault="006F55F1" w:rsidP="006F55F1">
      <w:pPr>
        <w:pStyle w:val="a3"/>
        <w:spacing w:after="0" w:line="360" w:lineRule="auto"/>
        <w:ind w:left="0"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1C7EC741" w14:textId="77777777" w:rsidR="006F55F1" w:rsidRDefault="006F55F1" w:rsidP="006F55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2023 года реализована вторая ступень обучающего проекта для сотрудников органов государственной власти автономного округа и органов местного самоуправления муниципальных образований «</w:t>
      </w:r>
      <w:proofErr w:type="spellStart"/>
      <w:r>
        <w:rPr>
          <w:rFonts w:ascii="Times New Roman" w:hAnsi="Times New Roman"/>
          <w:sz w:val="28"/>
          <w:szCs w:val="28"/>
        </w:rPr>
        <w:t>Инвестшкола</w:t>
      </w:r>
      <w:proofErr w:type="spellEnd"/>
      <w:r>
        <w:rPr>
          <w:rFonts w:ascii="Times New Roman" w:hAnsi="Times New Roman"/>
          <w:sz w:val="28"/>
          <w:szCs w:val="28"/>
        </w:rPr>
        <w:t xml:space="preserve"> 2.0.» (далее – Проект, </w:t>
      </w:r>
      <w:proofErr w:type="spellStart"/>
      <w:r>
        <w:rPr>
          <w:rFonts w:ascii="Times New Roman" w:hAnsi="Times New Roman"/>
          <w:sz w:val="28"/>
          <w:szCs w:val="28"/>
        </w:rPr>
        <w:t>Инвестшкола</w:t>
      </w:r>
      <w:proofErr w:type="spellEnd"/>
      <w:r>
        <w:rPr>
          <w:rFonts w:ascii="Times New Roman" w:hAnsi="Times New Roman"/>
          <w:sz w:val="28"/>
          <w:szCs w:val="28"/>
        </w:rPr>
        <w:t xml:space="preserve"> 2.0.), с углубленным </w:t>
      </w:r>
      <w:r>
        <w:rPr>
          <w:rFonts w:ascii="Times New Roman" w:hAnsi="Times New Roman"/>
          <w:sz w:val="28"/>
          <w:szCs w:val="28"/>
        </w:rPr>
        <w:lastRenderedPageBreak/>
        <w:t xml:space="preserve">обучением по актуальной профессиональной проблематике по вопросам инвестиционной деятельности. </w:t>
      </w:r>
    </w:p>
    <w:p w14:paraId="46AEC1A2" w14:textId="77777777" w:rsidR="006F55F1" w:rsidRDefault="006F55F1" w:rsidP="006F55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Аудитория проекта в 2023 году составила 528 человек. При разработке программы Проекта были учтены потребности профильных органов государственной власти Югры, запрос органов местного самоуправления муниципальных образований. Проведены 8 обучающих мероприятий – по вопросам финансового структурирования и поддержки инвестпроектов, развития трендов инвестиционный деятельности, туристической инфраструктуры, применения механизмов ГЧП и МЧП, инвестиционного профилирования муниципальных образований, регионального инвестиционного стандарта (в формате вебинаров, очных семинаров, курсов повышения квалификации, стратегических сессий, заседания экспертной площадки).</w:t>
      </w:r>
    </w:p>
    <w:p w14:paraId="39474675" w14:textId="77777777" w:rsidR="006F55F1" w:rsidRDefault="006F55F1" w:rsidP="006F55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исполнение решений Совета при Правительстве Ханты-Мансийского автономного округа – Югры по вопросам развития инвестиционной деятельности в Югре, в соответствии с Региональным инвестиционным стандартом и утвержденной программой </w:t>
      </w:r>
      <w:proofErr w:type="spellStart"/>
      <w:r>
        <w:rPr>
          <w:rFonts w:ascii="Times New Roman" w:hAnsi="Times New Roman"/>
          <w:sz w:val="28"/>
          <w:szCs w:val="28"/>
        </w:rPr>
        <w:t>Инвестшколы</w:t>
      </w:r>
      <w:proofErr w:type="spellEnd"/>
      <w:r>
        <w:rPr>
          <w:rFonts w:ascii="Times New Roman" w:hAnsi="Times New Roman"/>
          <w:sz w:val="28"/>
          <w:szCs w:val="28"/>
        </w:rPr>
        <w:t xml:space="preserve"> 2.0. организована разработка инвестиционных профилей для 22 муниципальных образований.  Во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6F55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кварталах 2023 года проведены установочные совещания с главами и представителями муниципальных образований, созданы рабочие группы, определены ответственные должностные лица. Проведены подготовительные работы (выработка методологии: разработка анкет, форм, шаблонов глубинных интервью, регламентов), организован сбор, обработка, анализ информации (диагностика по работе с инвесторами, подготовка итогов работы с бизнесом). Разработка инвестиционных профилей муниципальных образований   завершена в декабре 2023 года. Проведенный комплекс мероприятий учитывает требования и методические рекомендации Минэкономразвития России относительно «Регионального инвестиционного стандарта». Инвестиционное профилирование позволило определить направления инвестиционного развития муниципальных образований </w:t>
      </w:r>
      <w:r>
        <w:rPr>
          <w:rFonts w:ascii="Times New Roman" w:hAnsi="Times New Roman"/>
          <w:sz w:val="28"/>
          <w:szCs w:val="28"/>
        </w:rPr>
        <w:lastRenderedPageBreak/>
        <w:t xml:space="preserve">автономного округа до 2026 года, сформировать пул инвестиционных экономически эффективных проектов для реализации (проработано более 300 бизнес идей, более 700 инвестиционных ниш), определить потенциальных интересантов в реализации инвестиционных проектов, выработать конкретные рекомендации по улучшению инвестиционной привлекательности для каждого муниципального образования автономного округа и повышению их инвестиционной активности. </w:t>
      </w:r>
    </w:p>
    <w:p w14:paraId="7E66D1D7" w14:textId="77777777" w:rsidR="006F55F1" w:rsidRDefault="006F55F1" w:rsidP="006F55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продолжения работы совместно с федеральными экспертами, представителями Министерства экономического развития РФ, руководителями органов государственной власти автономного округа, органов местного самоуправления, отраслевыми специалистами обсуждены и намечены для реализации задачи Проекта в 2024 году и на перспективу до 2026 года. В соответствии с результатами обсуждения подготовлена и утверждена Программа «</w:t>
      </w:r>
      <w:proofErr w:type="spellStart"/>
      <w:r>
        <w:rPr>
          <w:rFonts w:ascii="Times New Roman" w:hAnsi="Times New Roman"/>
          <w:sz w:val="28"/>
          <w:szCs w:val="28"/>
        </w:rPr>
        <w:t>Инвестшколы</w:t>
      </w:r>
      <w:proofErr w:type="spellEnd"/>
      <w:r>
        <w:rPr>
          <w:rFonts w:ascii="Times New Roman" w:hAnsi="Times New Roman"/>
          <w:sz w:val="28"/>
          <w:szCs w:val="28"/>
        </w:rPr>
        <w:t xml:space="preserve"> 3.0.» на 2024 год.  </w:t>
      </w:r>
    </w:p>
    <w:p w14:paraId="498D0F0E" w14:textId="77777777" w:rsidR="006F55F1" w:rsidRDefault="006F55F1" w:rsidP="006F55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развития межрегионального взаимодействия институтов развития, отраслевых органов власти, бизнеса проведены 6 бизнес-мероприятий по вопросам создания высокотехнологичных производств и инновационного промышленного развития, использования беспилотных летательных аппаратов и летательных систем. Общее количество участников превысило 1100 человек (бизнес-сессии, визиты делегаций, стратегические сессии).</w:t>
      </w:r>
    </w:p>
    <w:p w14:paraId="43875FEE" w14:textId="642EF0D0" w:rsidR="006F55F1" w:rsidRPr="006F55F1" w:rsidRDefault="006F55F1" w:rsidP="006F55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55F1">
        <w:rPr>
          <w:rFonts w:ascii="Times New Roman" w:hAnsi="Times New Roman"/>
          <w:sz w:val="28"/>
          <w:szCs w:val="28"/>
        </w:rPr>
        <w:t xml:space="preserve">Проведено 19-21 июля 2023 года заседание Координационного совета по промышленности Минпромторга России на тему: «Машиностроение для нефтегазовой отрасли» (г. Сургут). </w:t>
      </w:r>
    </w:p>
    <w:p w14:paraId="3B78111E" w14:textId="77777777" w:rsidR="006F55F1" w:rsidRDefault="006F55F1" w:rsidP="006F55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поручениями Правительства Югры, отраслевых органов власти обеспечено представление инвестиционного и промышленного потенциала на значимых мероприятиях международного, федерального, межрегионального уровней: международной выставке продуктов питания и напитков «Продэкспо», международной выставке «ИННОПРОМ. Центральная Азия», Петербургском международном экономическом форуме, XIII Международной промышленной выставке </w:t>
      </w:r>
      <w:r>
        <w:rPr>
          <w:rFonts w:ascii="Times New Roman" w:hAnsi="Times New Roman"/>
          <w:sz w:val="28"/>
          <w:szCs w:val="28"/>
        </w:rPr>
        <w:lastRenderedPageBreak/>
        <w:t>«ИННОПРОМ» (Екатеринбург), мероприятиях Конгресса «Диверсификация ОПК» в рамках международного военно-технического форума «Армия-2023», VIII Восточном экономическом форуме.</w:t>
      </w:r>
    </w:p>
    <w:p w14:paraId="083575B5" w14:textId="77777777" w:rsidR="006F55F1" w:rsidRDefault="006F55F1" w:rsidP="006F55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развития Югры выступил организатором первого Югорского экономического форума 20-24 ноября 2023 года. Главная тема Форума - «Экономика предложения: гибкость, клиентоцентричность, производительность». За четыре дня форум посетили 1,5 тыс. участников, 16 тыс. человек смотрели трансляции онлайн. Спикерами стали почти 60 федеральных и региональных экспертов. В рамках форума организована выставка промышленных предприятий, малого и среднего бизнеса, в которой приняли участие более 30 предприятий из Югры. Кроме того, 23 ноября в Москве состоялась презентация первой особой экономической зоны производственно-промышленного типа в Югре «Нягань».</w:t>
      </w:r>
    </w:p>
    <w:p w14:paraId="05F15103" w14:textId="77777777" w:rsidR="006F55F1" w:rsidRDefault="006F55F1" w:rsidP="006F55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распоряжением Губернатора автономного округа от 1 июля 2023 года №166-рг «Об организационном комитете по подготовке к участию Ханты-Мансийского автономного округа – Югры в Международной выставке-форуме «Россия» (далее – Выставка) Фонд развития Югры является оператором, ответственным за обеспечение реализации мероприятий по подготовке к участию Ханты-Мансийского автономного округа – Югры в Выставке. Для исполнения данного распоряжения, на основе решений организационного комитета Выставки организовано рабочее взаимодействие с Дирекцией Выставки, обеспечено участие в выставке, создан дизайн-проект оригинального архитектурно-художественного оформления выставочного стенда, соответствующего современным тенденциям, с использованием последних разработок в области мультимедиа и интерактивных технологий;  обеспечена застройка выставочного стенда и организация его работы на весь период проведения Выставки; обеспечены организация и проведение деловых мероприятий, коммуникационной программы, культурной программы, в том числе в День региона на ВДНХ 23 ноября 2023 года, услуги стендистов и креативной команды, дополнительное мультимедийное и другое </w:t>
      </w:r>
      <w:r>
        <w:rPr>
          <w:rFonts w:ascii="Times New Roman" w:hAnsi="Times New Roman"/>
          <w:sz w:val="28"/>
          <w:szCs w:val="28"/>
        </w:rPr>
        <w:lastRenderedPageBreak/>
        <w:t xml:space="preserve">оборудование, сувенирная продукция, видеоконтент, обеспечено участие в Выставке и демонстрации имиджевых изделий/региональных брендов, производимых на территории автономного округа. </w:t>
      </w:r>
    </w:p>
    <w:p w14:paraId="15BD92AB" w14:textId="277D7FCB" w:rsidR="006F55F1" w:rsidRDefault="006F55F1" w:rsidP="006F55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Обеспечено информационное сопровождение всех мероприятий. </w:t>
      </w:r>
      <w:r w:rsidRPr="006F55F1">
        <w:rPr>
          <w:rFonts w:ascii="Times New Roman" w:hAnsi="Times New Roman"/>
          <w:sz w:val="28"/>
          <w:szCs w:val="28"/>
        </w:rPr>
        <w:t xml:space="preserve">Подготовлены 49 презентаций о мерах поддержки в Югре, проектах ИНТЦ, БПЛА, инвестиционном потенциале региона и развитии промышленности, </w:t>
      </w:r>
      <w:proofErr w:type="spellStart"/>
      <w:r w:rsidRPr="006F55F1">
        <w:rPr>
          <w:rFonts w:ascii="Times New Roman" w:hAnsi="Times New Roman"/>
          <w:sz w:val="28"/>
          <w:szCs w:val="28"/>
        </w:rPr>
        <w:t>лифлеты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55F1">
        <w:rPr>
          <w:rFonts w:ascii="Times New Roman" w:hAnsi="Times New Roman"/>
          <w:sz w:val="28"/>
          <w:szCs w:val="28"/>
        </w:rPr>
        <w:t>ОЭЗ</w:t>
      </w:r>
      <w:r>
        <w:rPr>
          <w:rFonts w:ascii="Times New Roman" w:hAnsi="Times New Roman"/>
          <w:i/>
          <w:iCs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федеральных, региональных, муниципальных, печатных и электронных СМИ (включая ТВ и радио) опубликовано 3 601 информационный материал об инвестиционном и промышленном развитии региона, развитии туризма и агропромышленного комплекса (по данным системы Медиалогия). Общее количество публикаций в социальных сетях </w:t>
      </w:r>
      <w:proofErr w:type="spellStart"/>
      <w:r>
        <w:rPr>
          <w:rFonts w:ascii="Times New Roman" w:hAnsi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/>
          <w:sz w:val="28"/>
          <w:szCs w:val="28"/>
        </w:rPr>
        <w:t xml:space="preserve"> и Телеграм в аккаунтах социальных сетей Фонда/Инвестиционного портала размещено 2 519 постов (</w:t>
      </w:r>
      <w:proofErr w:type="spellStart"/>
      <w:r>
        <w:rPr>
          <w:rFonts w:ascii="Times New Roman" w:hAnsi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/>
          <w:sz w:val="28"/>
          <w:szCs w:val="28"/>
        </w:rPr>
        <w:t xml:space="preserve"> 421/1134, </w:t>
      </w:r>
      <w:proofErr w:type="spellStart"/>
      <w:r>
        <w:rPr>
          <w:rFonts w:ascii="Times New Roman" w:hAnsi="Times New Roman"/>
          <w:sz w:val="28"/>
          <w:szCs w:val="28"/>
        </w:rPr>
        <w:t>телеграм</w:t>
      </w:r>
      <w:proofErr w:type="spellEnd"/>
      <w:r>
        <w:rPr>
          <w:rFonts w:ascii="Times New Roman" w:hAnsi="Times New Roman"/>
          <w:sz w:val="28"/>
          <w:szCs w:val="28"/>
        </w:rPr>
        <w:t xml:space="preserve"> – 468/496). Разработаны 42 выпуска Дайджеста инвестиционной активности Ханты-Мансийского автономного округа, 49 выпусков туристического гида по Югре. </w:t>
      </w:r>
    </w:p>
    <w:p w14:paraId="149C619F" w14:textId="77777777" w:rsidR="006F55F1" w:rsidRDefault="006F55F1" w:rsidP="006F55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E6C1E26" w14:textId="2D8DC197" w:rsidR="00A173B4" w:rsidRPr="0043044E" w:rsidRDefault="00A173B4" w:rsidP="002339BC">
      <w:pPr>
        <w:pStyle w:val="a3"/>
        <w:spacing w:after="120" w:line="360" w:lineRule="auto"/>
        <w:ind w:left="0" w:firstLine="709"/>
        <w:contextualSpacing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43044E">
        <w:rPr>
          <w:rFonts w:ascii="Times New Roman" w:hAnsi="Times New Roman" w:cs="Times New Roman"/>
          <w:b/>
          <w:bCs/>
          <w:sz w:val="28"/>
          <w:szCs w:val="28"/>
        </w:rPr>
        <w:t>Перспективные стратегические направления развития</w:t>
      </w:r>
      <w:bookmarkEnd w:id="4"/>
      <w:r w:rsidR="002339BC" w:rsidRPr="0043044E">
        <w:rPr>
          <w:rFonts w:ascii="Times New Roman" w:hAnsi="Times New Roman" w:cs="Times New Roman"/>
          <w:b/>
          <w:bCs/>
          <w:sz w:val="28"/>
          <w:szCs w:val="28"/>
        </w:rPr>
        <w:t xml:space="preserve"> Фонда развития Югры</w:t>
      </w:r>
      <w:r w:rsidRPr="0043044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4CD71F1" w14:textId="3173F9B8" w:rsidR="00A173B4" w:rsidRPr="00F925D7" w:rsidRDefault="002339BC" w:rsidP="007F53DD">
      <w:pPr>
        <w:pStyle w:val="a3"/>
        <w:numPr>
          <w:ilvl w:val="0"/>
          <w:numId w:val="3"/>
        </w:numPr>
        <w:tabs>
          <w:tab w:val="left" w:pos="1134"/>
        </w:tabs>
        <w:spacing w:after="12" w:line="360" w:lineRule="auto"/>
        <w:ind w:left="0" w:firstLine="709"/>
        <w:contextualSpacing w:val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F925D7">
        <w:rPr>
          <w:rFonts w:ascii="Times New Roman" w:hAnsi="Times New Roman" w:cs="Times New Roman"/>
          <w:bCs/>
          <w:sz w:val="28"/>
          <w:szCs w:val="28"/>
        </w:rPr>
        <w:t xml:space="preserve">Развитие </w:t>
      </w:r>
      <w:r w:rsidR="00886E16" w:rsidRPr="00F925D7">
        <w:rPr>
          <w:rFonts w:ascii="Times New Roman" w:hAnsi="Times New Roman" w:cs="Times New Roman"/>
          <w:bCs/>
          <w:sz w:val="28"/>
          <w:szCs w:val="28"/>
        </w:rPr>
        <w:t xml:space="preserve">интерактивных информационных ресурсов/систем в сети интернет: </w:t>
      </w:r>
      <w:r w:rsidR="00EA2FB5" w:rsidRPr="00F925D7">
        <w:rPr>
          <w:rFonts w:ascii="Times New Roman" w:hAnsi="Times New Roman" w:cs="Times New Roman"/>
          <w:bCs/>
          <w:sz w:val="28"/>
          <w:szCs w:val="28"/>
        </w:rPr>
        <w:t>Инвестиционная карта Югры, Инвестиционный портал Югры</w:t>
      </w:r>
      <w:r w:rsidR="00A173B4" w:rsidRPr="00F925D7">
        <w:rPr>
          <w:rFonts w:ascii="Times New Roman" w:hAnsi="Times New Roman" w:cs="Times New Roman"/>
          <w:bCs/>
          <w:sz w:val="28"/>
          <w:szCs w:val="28"/>
        </w:rPr>
        <w:t>;</w:t>
      </w:r>
    </w:p>
    <w:p w14:paraId="3B5F3AEB" w14:textId="6547D3F7" w:rsidR="00F925D7" w:rsidRPr="00F925D7" w:rsidRDefault="00F925D7" w:rsidP="00F925D7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Pr="00F925D7">
        <w:rPr>
          <w:rFonts w:ascii="Times New Roman" w:hAnsi="Times New Roman" w:cs="Times New Roman"/>
          <w:sz w:val="28"/>
          <w:szCs w:val="28"/>
        </w:rPr>
        <w:t>Арктическ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925D7">
        <w:rPr>
          <w:rFonts w:ascii="Times New Roman" w:hAnsi="Times New Roman" w:cs="Times New Roman"/>
          <w:sz w:val="28"/>
          <w:szCs w:val="28"/>
        </w:rPr>
        <w:t xml:space="preserve"> зон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925D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925D7">
        <w:rPr>
          <w:rFonts w:ascii="Times New Roman" w:hAnsi="Times New Roman" w:cs="Times New Roman"/>
          <w:sz w:val="28"/>
          <w:szCs w:val="28"/>
        </w:rPr>
        <w:t>соб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925D7">
        <w:rPr>
          <w:rFonts w:ascii="Times New Roman" w:hAnsi="Times New Roman" w:cs="Times New Roman"/>
          <w:sz w:val="28"/>
          <w:szCs w:val="28"/>
        </w:rPr>
        <w:t xml:space="preserve"> экономическ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925D7">
        <w:rPr>
          <w:rFonts w:ascii="Times New Roman" w:hAnsi="Times New Roman" w:cs="Times New Roman"/>
          <w:sz w:val="28"/>
          <w:szCs w:val="28"/>
        </w:rPr>
        <w:t xml:space="preserve"> зон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925D7">
        <w:rPr>
          <w:rFonts w:ascii="Times New Roman" w:hAnsi="Times New Roman" w:cs="Times New Roman"/>
          <w:sz w:val="28"/>
          <w:szCs w:val="28"/>
        </w:rPr>
        <w:t xml:space="preserve"> г. Нягань, инновационн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925D7">
        <w:rPr>
          <w:rFonts w:ascii="Times New Roman" w:hAnsi="Times New Roman" w:cs="Times New Roman"/>
          <w:sz w:val="28"/>
          <w:szCs w:val="28"/>
        </w:rPr>
        <w:t xml:space="preserve"> научно-технологическ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925D7">
        <w:rPr>
          <w:rFonts w:ascii="Times New Roman" w:hAnsi="Times New Roman" w:cs="Times New Roman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925D7">
        <w:rPr>
          <w:rFonts w:ascii="Times New Roman" w:hAnsi="Times New Roman" w:cs="Times New Roman"/>
          <w:sz w:val="28"/>
          <w:szCs w:val="28"/>
        </w:rPr>
        <w:t xml:space="preserve"> «ЮНИТИ ПАРК»,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F925D7">
        <w:rPr>
          <w:rFonts w:ascii="Times New Roman" w:hAnsi="Times New Roman" w:cs="Times New Roman"/>
          <w:sz w:val="28"/>
          <w:szCs w:val="28"/>
        </w:rPr>
        <w:t>еспилотны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925D7">
        <w:rPr>
          <w:rFonts w:ascii="Times New Roman" w:hAnsi="Times New Roman" w:cs="Times New Roman"/>
          <w:sz w:val="28"/>
          <w:szCs w:val="28"/>
        </w:rPr>
        <w:t xml:space="preserve"> авиационны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925D7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80044DA" w14:textId="6C577480" w:rsidR="00A173B4" w:rsidRPr="0043044E" w:rsidRDefault="00A173B4" w:rsidP="007F53DD">
      <w:pPr>
        <w:pStyle w:val="a3"/>
        <w:numPr>
          <w:ilvl w:val="0"/>
          <w:numId w:val="3"/>
        </w:numPr>
        <w:tabs>
          <w:tab w:val="left" w:pos="1134"/>
        </w:tabs>
        <w:spacing w:after="12" w:line="360" w:lineRule="auto"/>
        <w:ind w:left="0" w:firstLine="709"/>
        <w:contextualSpacing w:val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43044E">
        <w:rPr>
          <w:rFonts w:ascii="Times New Roman" w:hAnsi="Times New Roman" w:cs="Times New Roman"/>
          <w:bCs/>
          <w:sz w:val="28"/>
          <w:szCs w:val="28"/>
        </w:rPr>
        <w:t>Финансовая поддержка инвестиционных проектов</w:t>
      </w:r>
      <w:r w:rsidR="00886E16" w:rsidRPr="0043044E">
        <w:rPr>
          <w:rFonts w:ascii="Times New Roman" w:hAnsi="Times New Roman" w:cs="Times New Roman"/>
          <w:bCs/>
          <w:sz w:val="28"/>
          <w:szCs w:val="28"/>
        </w:rPr>
        <w:t xml:space="preserve"> (льготное финансирование, венчурное финансирование)</w:t>
      </w:r>
      <w:r w:rsidRPr="0043044E">
        <w:rPr>
          <w:rFonts w:ascii="Times New Roman" w:hAnsi="Times New Roman" w:cs="Times New Roman"/>
          <w:bCs/>
          <w:sz w:val="28"/>
          <w:szCs w:val="28"/>
        </w:rPr>
        <w:t>;</w:t>
      </w:r>
    </w:p>
    <w:p w14:paraId="64CDF5EC" w14:textId="661FBC0F" w:rsidR="002339BC" w:rsidRPr="0043044E" w:rsidRDefault="002339BC" w:rsidP="007F53DD">
      <w:pPr>
        <w:pStyle w:val="a3"/>
        <w:numPr>
          <w:ilvl w:val="0"/>
          <w:numId w:val="3"/>
        </w:numPr>
        <w:tabs>
          <w:tab w:val="left" w:pos="1134"/>
        </w:tabs>
        <w:spacing w:after="12" w:line="360" w:lineRule="auto"/>
        <w:ind w:left="0" w:firstLine="709"/>
        <w:contextualSpacing w:val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43044E">
        <w:rPr>
          <w:rFonts w:ascii="Times New Roman" w:hAnsi="Times New Roman" w:cs="Times New Roman"/>
          <w:bCs/>
          <w:sz w:val="28"/>
          <w:szCs w:val="28"/>
        </w:rPr>
        <w:t>Развитие промышленной инфраструктуры с особыми условиями ведения предпринимательской деятельности</w:t>
      </w:r>
      <w:r w:rsidR="00886E16" w:rsidRPr="0043044E">
        <w:rPr>
          <w:rFonts w:ascii="Times New Roman" w:hAnsi="Times New Roman" w:cs="Times New Roman"/>
          <w:bCs/>
          <w:sz w:val="28"/>
          <w:szCs w:val="28"/>
        </w:rPr>
        <w:t xml:space="preserve"> (индустриальные парки/технопарки, особая экономическая зона)</w:t>
      </w:r>
      <w:r w:rsidRPr="0043044E">
        <w:rPr>
          <w:rFonts w:ascii="Times New Roman" w:hAnsi="Times New Roman" w:cs="Times New Roman"/>
          <w:bCs/>
          <w:sz w:val="28"/>
          <w:szCs w:val="28"/>
        </w:rPr>
        <w:t>;</w:t>
      </w:r>
    </w:p>
    <w:p w14:paraId="5D886743" w14:textId="33B6C3AC" w:rsidR="00A173B4" w:rsidRPr="0043044E" w:rsidRDefault="00A173B4" w:rsidP="007F53DD">
      <w:pPr>
        <w:pStyle w:val="a3"/>
        <w:numPr>
          <w:ilvl w:val="0"/>
          <w:numId w:val="3"/>
        </w:numPr>
        <w:tabs>
          <w:tab w:val="left" w:pos="1134"/>
        </w:tabs>
        <w:spacing w:after="12" w:line="360" w:lineRule="auto"/>
        <w:ind w:left="0" w:firstLine="709"/>
        <w:contextualSpacing w:val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43044E">
        <w:rPr>
          <w:rFonts w:ascii="Times New Roman" w:hAnsi="Times New Roman" w:cs="Times New Roman"/>
          <w:bCs/>
          <w:sz w:val="28"/>
          <w:szCs w:val="28"/>
        </w:rPr>
        <w:lastRenderedPageBreak/>
        <w:t>Участие в создании инженерной, производственной, транспортной, информационной и туристической инфраструктуры;</w:t>
      </w:r>
    </w:p>
    <w:p w14:paraId="5A9F54CA" w14:textId="118A10D2" w:rsidR="00AF234B" w:rsidRPr="0043044E" w:rsidRDefault="00A173B4" w:rsidP="007F53DD">
      <w:pPr>
        <w:pStyle w:val="a3"/>
        <w:numPr>
          <w:ilvl w:val="0"/>
          <w:numId w:val="3"/>
        </w:numPr>
        <w:tabs>
          <w:tab w:val="left" w:pos="1134"/>
        </w:tabs>
        <w:spacing w:after="1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44E">
        <w:rPr>
          <w:rFonts w:ascii="Times New Roman" w:hAnsi="Times New Roman" w:cs="Times New Roman"/>
          <w:bCs/>
          <w:sz w:val="28"/>
          <w:szCs w:val="28"/>
        </w:rPr>
        <w:t>Формирование команды региона в сфере привлечения инвестиций и работ</w:t>
      </w:r>
      <w:r w:rsidR="00886E16" w:rsidRPr="0043044E">
        <w:rPr>
          <w:rFonts w:ascii="Times New Roman" w:hAnsi="Times New Roman" w:cs="Times New Roman"/>
          <w:bCs/>
          <w:sz w:val="28"/>
          <w:szCs w:val="28"/>
        </w:rPr>
        <w:t>ы</w:t>
      </w:r>
      <w:r w:rsidRPr="0043044E">
        <w:rPr>
          <w:rFonts w:ascii="Times New Roman" w:hAnsi="Times New Roman" w:cs="Times New Roman"/>
          <w:bCs/>
          <w:sz w:val="28"/>
          <w:szCs w:val="28"/>
        </w:rPr>
        <w:t xml:space="preserve"> с инвесторами.</w:t>
      </w:r>
      <w:r w:rsidRPr="0043044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F234B" w:rsidRPr="0043044E" w:rsidSect="00AC3CEA">
      <w:headerReference w:type="default" r:id="rId13"/>
      <w:footerReference w:type="defaul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B6E41" w14:textId="77777777" w:rsidR="00AC3CEA" w:rsidRDefault="00AC3CEA" w:rsidP="00C52367">
      <w:pPr>
        <w:spacing w:after="0" w:line="240" w:lineRule="auto"/>
      </w:pPr>
      <w:r>
        <w:separator/>
      </w:r>
    </w:p>
  </w:endnote>
  <w:endnote w:type="continuationSeparator" w:id="0">
    <w:p w14:paraId="553C89AB" w14:textId="77777777" w:rsidR="00AC3CEA" w:rsidRDefault="00AC3CEA" w:rsidP="00C52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1538020"/>
      <w:docPartObj>
        <w:docPartGallery w:val="Page Numbers (Bottom of Page)"/>
        <w:docPartUnique/>
      </w:docPartObj>
    </w:sdtPr>
    <w:sdtEndPr/>
    <w:sdtContent>
      <w:p w14:paraId="2ED373AE" w14:textId="69BAE602" w:rsidR="00CE24CC" w:rsidRDefault="00CE24C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FCD">
          <w:rPr>
            <w:noProof/>
          </w:rPr>
          <w:t>4</w:t>
        </w:r>
        <w:r>
          <w:fldChar w:fldCharType="end"/>
        </w:r>
      </w:p>
    </w:sdtContent>
  </w:sdt>
  <w:p w14:paraId="5A797D43" w14:textId="77777777" w:rsidR="00CE24CC" w:rsidRDefault="00CE24C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176B3" w14:textId="77777777" w:rsidR="00AC3CEA" w:rsidRDefault="00AC3CEA" w:rsidP="00C52367">
      <w:pPr>
        <w:spacing w:after="0" w:line="240" w:lineRule="auto"/>
      </w:pPr>
      <w:r>
        <w:separator/>
      </w:r>
    </w:p>
  </w:footnote>
  <w:footnote w:type="continuationSeparator" w:id="0">
    <w:p w14:paraId="1AFFD7D2" w14:textId="77777777" w:rsidR="00AC3CEA" w:rsidRDefault="00AC3CEA" w:rsidP="00C52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2D805" w14:textId="63B018A0" w:rsidR="00C52367" w:rsidRDefault="00C52367" w:rsidP="00CE24CC">
    <w:pPr>
      <w:pStyle w:val="a5"/>
    </w:pPr>
  </w:p>
  <w:p w14:paraId="45BE7150" w14:textId="77777777" w:rsidR="00C52367" w:rsidRDefault="00C5236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353E8"/>
    <w:multiLevelType w:val="hybridMultilevel"/>
    <w:tmpl w:val="45F8C4CA"/>
    <w:lvl w:ilvl="0" w:tplc="B31839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1F62300"/>
    <w:multiLevelType w:val="hybridMultilevel"/>
    <w:tmpl w:val="C0701BB2"/>
    <w:lvl w:ilvl="0" w:tplc="24C4F320">
      <w:start w:val="1"/>
      <w:numFmt w:val="bullet"/>
      <w:lvlText w:val=""/>
      <w:lvlJc w:val="left"/>
      <w:pPr>
        <w:ind w:left="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" w15:restartNumberingAfterBreak="0">
    <w:nsid w:val="29960A42"/>
    <w:multiLevelType w:val="hybridMultilevel"/>
    <w:tmpl w:val="93940278"/>
    <w:lvl w:ilvl="0" w:tplc="B31839F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2F26754B"/>
    <w:multiLevelType w:val="multilevel"/>
    <w:tmpl w:val="60309B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4" w15:restartNumberingAfterBreak="0">
    <w:nsid w:val="33BD08E9"/>
    <w:multiLevelType w:val="hybridMultilevel"/>
    <w:tmpl w:val="19DEBCAC"/>
    <w:lvl w:ilvl="0" w:tplc="B3183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40447"/>
    <w:multiLevelType w:val="hybridMultilevel"/>
    <w:tmpl w:val="4BF0CE8E"/>
    <w:lvl w:ilvl="0" w:tplc="78420126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0B61852"/>
    <w:multiLevelType w:val="hybridMultilevel"/>
    <w:tmpl w:val="4A980BEA"/>
    <w:lvl w:ilvl="0" w:tplc="DE5889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B10CF"/>
    <w:multiLevelType w:val="hybridMultilevel"/>
    <w:tmpl w:val="136C87B8"/>
    <w:lvl w:ilvl="0" w:tplc="C2FCE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80CC7"/>
    <w:multiLevelType w:val="hybridMultilevel"/>
    <w:tmpl w:val="34B458B6"/>
    <w:lvl w:ilvl="0" w:tplc="B3183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67521875">
    <w:abstractNumId w:val="6"/>
  </w:num>
  <w:num w:numId="2" w16cid:durableId="1363822249">
    <w:abstractNumId w:val="1"/>
  </w:num>
  <w:num w:numId="3" w16cid:durableId="1771077091">
    <w:abstractNumId w:val="7"/>
  </w:num>
  <w:num w:numId="4" w16cid:durableId="1251738525">
    <w:abstractNumId w:val="8"/>
  </w:num>
  <w:num w:numId="5" w16cid:durableId="1210067363">
    <w:abstractNumId w:val="3"/>
  </w:num>
  <w:num w:numId="6" w16cid:durableId="865796889">
    <w:abstractNumId w:val="0"/>
  </w:num>
  <w:num w:numId="7" w16cid:durableId="1460612269">
    <w:abstractNumId w:val="4"/>
  </w:num>
  <w:num w:numId="8" w16cid:durableId="270630220">
    <w:abstractNumId w:val="4"/>
  </w:num>
  <w:num w:numId="9" w16cid:durableId="452286790">
    <w:abstractNumId w:val="0"/>
  </w:num>
  <w:num w:numId="10" w16cid:durableId="1226987582">
    <w:abstractNumId w:val="2"/>
  </w:num>
  <w:num w:numId="11" w16cid:durableId="3211821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690"/>
    <w:rsid w:val="00022177"/>
    <w:rsid w:val="00026A05"/>
    <w:rsid w:val="00031689"/>
    <w:rsid w:val="00041B01"/>
    <w:rsid w:val="0004547E"/>
    <w:rsid w:val="00047D03"/>
    <w:rsid w:val="00051B50"/>
    <w:rsid w:val="000543EC"/>
    <w:rsid w:val="00054BA6"/>
    <w:rsid w:val="00064AD7"/>
    <w:rsid w:val="000A5057"/>
    <w:rsid w:val="000A5516"/>
    <w:rsid w:val="000B503E"/>
    <w:rsid w:val="000C0728"/>
    <w:rsid w:val="000C1BE1"/>
    <w:rsid w:val="000C1C04"/>
    <w:rsid w:val="000C5121"/>
    <w:rsid w:val="000E1909"/>
    <w:rsid w:val="000F44EB"/>
    <w:rsid w:val="0010377A"/>
    <w:rsid w:val="00104EC3"/>
    <w:rsid w:val="00110E63"/>
    <w:rsid w:val="00122AAF"/>
    <w:rsid w:val="001552FC"/>
    <w:rsid w:val="00162600"/>
    <w:rsid w:val="00165D19"/>
    <w:rsid w:val="00177130"/>
    <w:rsid w:val="001805C1"/>
    <w:rsid w:val="0018081A"/>
    <w:rsid w:val="00193E00"/>
    <w:rsid w:val="001A57FE"/>
    <w:rsid w:val="001B1402"/>
    <w:rsid w:val="001E018D"/>
    <w:rsid w:val="001F4C98"/>
    <w:rsid w:val="00205169"/>
    <w:rsid w:val="00210FDE"/>
    <w:rsid w:val="00211C84"/>
    <w:rsid w:val="002128FE"/>
    <w:rsid w:val="00224B8C"/>
    <w:rsid w:val="00230C7B"/>
    <w:rsid w:val="00233819"/>
    <w:rsid w:val="002339BC"/>
    <w:rsid w:val="0023649E"/>
    <w:rsid w:val="00240594"/>
    <w:rsid w:val="002467B9"/>
    <w:rsid w:val="00255AD9"/>
    <w:rsid w:val="002756EC"/>
    <w:rsid w:val="00275C1E"/>
    <w:rsid w:val="00282818"/>
    <w:rsid w:val="0029254A"/>
    <w:rsid w:val="002B075E"/>
    <w:rsid w:val="002B293C"/>
    <w:rsid w:val="002C48B2"/>
    <w:rsid w:val="002C4BA9"/>
    <w:rsid w:val="002C768C"/>
    <w:rsid w:val="002D7384"/>
    <w:rsid w:val="002D7552"/>
    <w:rsid w:val="002E0B8B"/>
    <w:rsid w:val="00305E7A"/>
    <w:rsid w:val="00310E10"/>
    <w:rsid w:val="00310EAF"/>
    <w:rsid w:val="003446AD"/>
    <w:rsid w:val="0034511C"/>
    <w:rsid w:val="003562B8"/>
    <w:rsid w:val="00360284"/>
    <w:rsid w:val="003654C7"/>
    <w:rsid w:val="003779F0"/>
    <w:rsid w:val="0038008E"/>
    <w:rsid w:val="00395AE5"/>
    <w:rsid w:val="003A0AEA"/>
    <w:rsid w:val="003A15F5"/>
    <w:rsid w:val="003A23D5"/>
    <w:rsid w:val="003A6B48"/>
    <w:rsid w:val="003C1690"/>
    <w:rsid w:val="003C2E6B"/>
    <w:rsid w:val="003C70A3"/>
    <w:rsid w:val="003D29AD"/>
    <w:rsid w:val="003D5413"/>
    <w:rsid w:val="003F1C7E"/>
    <w:rsid w:val="003F5C58"/>
    <w:rsid w:val="003F6AE7"/>
    <w:rsid w:val="00404A75"/>
    <w:rsid w:val="00406D1B"/>
    <w:rsid w:val="00414833"/>
    <w:rsid w:val="004219F7"/>
    <w:rsid w:val="00426CCB"/>
    <w:rsid w:val="0043044E"/>
    <w:rsid w:val="0043188E"/>
    <w:rsid w:val="00431EE8"/>
    <w:rsid w:val="00433DD7"/>
    <w:rsid w:val="00436678"/>
    <w:rsid w:val="00443ACF"/>
    <w:rsid w:val="00451556"/>
    <w:rsid w:val="004610DE"/>
    <w:rsid w:val="004B061E"/>
    <w:rsid w:val="004C7BFE"/>
    <w:rsid w:val="004E003A"/>
    <w:rsid w:val="004E775F"/>
    <w:rsid w:val="004F26FD"/>
    <w:rsid w:val="004F647F"/>
    <w:rsid w:val="00512ACF"/>
    <w:rsid w:val="0052129E"/>
    <w:rsid w:val="00532CDB"/>
    <w:rsid w:val="00535310"/>
    <w:rsid w:val="00537847"/>
    <w:rsid w:val="00550F67"/>
    <w:rsid w:val="00563D2A"/>
    <w:rsid w:val="0056746D"/>
    <w:rsid w:val="00572377"/>
    <w:rsid w:val="00581AD3"/>
    <w:rsid w:val="0059338F"/>
    <w:rsid w:val="005A28B2"/>
    <w:rsid w:val="005A6248"/>
    <w:rsid w:val="005C4755"/>
    <w:rsid w:val="005D0874"/>
    <w:rsid w:val="005D36FF"/>
    <w:rsid w:val="005E0A78"/>
    <w:rsid w:val="005F0324"/>
    <w:rsid w:val="005F234A"/>
    <w:rsid w:val="005F6FB5"/>
    <w:rsid w:val="006007B0"/>
    <w:rsid w:val="00615375"/>
    <w:rsid w:val="00622400"/>
    <w:rsid w:val="00622549"/>
    <w:rsid w:val="00655350"/>
    <w:rsid w:val="00660B09"/>
    <w:rsid w:val="00663520"/>
    <w:rsid w:val="00663DE8"/>
    <w:rsid w:val="0066638B"/>
    <w:rsid w:val="00671477"/>
    <w:rsid w:val="00676762"/>
    <w:rsid w:val="00677484"/>
    <w:rsid w:val="00690E4B"/>
    <w:rsid w:val="00697205"/>
    <w:rsid w:val="006A6DF4"/>
    <w:rsid w:val="006A78F2"/>
    <w:rsid w:val="006C58AC"/>
    <w:rsid w:val="006D6ED2"/>
    <w:rsid w:val="006E5D48"/>
    <w:rsid w:val="006F2A81"/>
    <w:rsid w:val="006F55F1"/>
    <w:rsid w:val="00713C90"/>
    <w:rsid w:val="00716D48"/>
    <w:rsid w:val="00717FC3"/>
    <w:rsid w:val="00721CF5"/>
    <w:rsid w:val="00724D12"/>
    <w:rsid w:val="00727A39"/>
    <w:rsid w:val="007331DC"/>
    <w:rsid w:val="00743D67"/>
    <w:rsid w:val="007503C8"/>
    <w:rsid w:val="007514BE"/>
    <w:rsid w:val="0077718A"/>
    <w:rsid w:val="007772D3"/>
    <w:rsid w:val="00793F19"/>
    <w:rsid w:val="00797E59"/>
    <w:rsid w:val="007A0F58"/>
    <w:rsid w:val="007A22B1"/>
    <w:rsid w:val="007A341E"/>
    <w:rsid w:val="007B224E"/>
    <w:rsid w:val="007B35B3"/>
    <w:rsid w:val="007B529F"/>
    <w:rsid w:val="007E14CC"/>
    <w:rsid w:val="007F53DD"/>
    <w:rsid w:val="008037FE"/>
    <w:rsid w:val="008067EB"/>
    <w:rsid w:val="00813477"/>
    <w:rsid w:val="008167E6"/>
    <w:rsid w:val="00821B67"/>
    <w:rsid w:val="008255F8"/>
    <w:rsid w:val="008314E8"/>
    <w:rsid w:val="008339BD"/>
    <w:rsid w:val="00844830"/>
    <w:rsid w:val="00853222"/>
    <w:rsid w:val="008549EB"/>
    <w:rsid w:val="008573D3"/>
    <w:rsid w:val="00862BDB"/>
    <w:rsid w:val="008654BC"/>
    <w:rsid w:val="0086627E"/>
    <w:rsid w:val="00870B63"/>
    <w:rsid w:val="00876226"/>
    <w:rsid w:val="008843D2"/>
    <w:rsid w:val="00884EA0"/>
    <w:rsid w:val="00886E16"/>
    <w:rsid w:val="008A6204"/>
    <w:rsid w:val="008B68D8"/>
    <w:rsid w:val="008B73C9"/>
    <w:rsid w:val="008C7602"/>
    <w:rsid w:val="008E20CC"/>
    <w:rsid w:val="008E3088"/>
    <w:rsid w:val="008E6B5F"/>
    <w:rsid w:val="008E6C9F"/>
    <w:rsid w:val="009046FC"/>
    <w:rsid w:val="009222AB"/>
    <w:rsid w:val="00924273"/>
    <w:rsid w:val="0095745A"/>
    <w:rsid w:val="0096025A"/>
    <w:rsid w:val="0098148D"/>
    <w:rsid w:val="00982F79"/>
    <w:rsid w:val="00991F1C"/>
    <w:rsid w:val="009942D0"/>
    <w:rsid w:val="009957D3"/>
    <w:rsid w:val="00995B47"/>
    <w:rsid w:val="009B28F9"/>
    <w:rsid w:val="009B5DA6"/>
    <w:rsid w:val="009D14D6"/>
    <w:rsid w:val="009D3F92"/>
    <w:rsid w:val="009D52FA"/>
    <w:rsid w:val="009E16C8"/>
    <w:rsid w:val="009E2415"/>
    <w:rsid w:val="009F2FB2"/>
    <w:rsid w:val="009F7F9D"/>
    <w:rsid w:val="00A07035"/>
    <w:rsid w:val="00A13B7E"/>
    <w:rsid w:val="00A173B4"/>
    <w:rsid w:val="00A360FE"/>
    <w:rsid w:val="00A370A3"/>
    <w:rsid w:val="00A37C32"/>
    <w:rsid w:val="00A41D15"/>
    <w:rsid w:val="00A570FE"/>
    <w:rsid w:val="00A72186"/>
    <w:rsid w:val="00A81E9A"/>
    <w:rsid w:val="00A9074D"/>
    <w:rsid w:val="00A96457"/>
    <w:rsid w:val="00AA4C1D"/>
    <w:rsid w:val="00AA7DDF"/>
    <w:rsid w:val="00AB1080"/>
    <w:rsid w:val="00AC3CEA"/>
    <w:rsid w:val="00AE174B"/>
    <w:rsid w:val="00AF234B"/>
    <w:rsid w:val="00AF33B1"/>
    <w:rsid w:val="00B0100B"/>
    <w:rsid w:val="00B20A38"/>
    <w:rsid w:val="00B243F1"/>
    <w:rsid w:val="00B251E7"/>
    <w:rsid w:val="00B468C9"/>
    <w:rsid w:val="00B51E9A"/>
    <w:rsid w:val="00B8086A"/>
    <w:rsid w:val="00B86D59"/>
    <w:rsid w:val="00B8795C"/>
    <w:rsid w:val="00B95CB7"/>
    <w:rsid w:val="00B975EA"/>
    <w:rsid w:val="00BA17C5"/>
    <w:rsid w:val="00BD2A89"/>
    <w:rsid w:val="00BE7CAA"/>
    <w:rsid w:val="00C14BF3"/>
    <w:rsid w:val="00C20107"/>
    <w:rsid w:val="00C44155"/>
    <w:rsid w:val="00C503B8"/>
    <w:rsid w:val="00C52367"/>
    <w:rsid w:val="00C5363E"/>
    <w:rsid w:val="00C56CCA"/>
    <w:rsid w:val="00C72DA5"/>
    <w:rsid w:val="00C75455"/>
    <w:rsid w:val="00C758A1"/>
    <w:rsid w:val="00C76002"/>
    <w:rsid w:val="00C85AEB"/>
    <w:rsid w:val="00C877A2"/>
    <w:rsid w:val="00C95D50"/>
    <w:rsid w:val="00CA2DB0"/>
    <w:rsid w:val="00CA3666"/>
    <w:rsid w:val="00CB035B"/>
    <w:rsid w:val="00CC37CB"/>
    <w:rsid w:val="00CD3360"/>
    <w:rsid w:val="00CD34D6"/>
    <w:rsid w:val="00CE24CC"/>
    <w:rsid w:val="00CE6814"/>
    <w:rsid w:val="00CF4B25"/>
    <w:rsid w:val="00D05BEC"/>
    <w:rsid w:val="00D15C01"/>
    <w:rsid w:val="00D331EA"/>
    <w:rsid w:val="00D3482D"/>
    <w:rsid w:val="00D36DC1"/>
    <w:rsid w:val="00D46F58"/>
    <w:rsid w:val="00D63FFC"/>
    <w:rsid w:val="00D76A3E"/>
    <w:rsid w:val="00D7713D"/>
    <w:rsid w:val="00D84812"/>
    <w:rsid w:val="00DA2978"/>
    <w:rsid w:val="00DA37F6"/>
    <w:rsid w:val="00DB463E"/>
    <w:rsid w:val="00DD1106"/>
    <w:rsid w:val="00DE2A94"/>
    <w:rsid w:val="00DF7519"/>
    <w:rsid w:val="00E2013F"/>
    <w:rsid w:val="00E23CA9"/>
    <w:rsid w:val="00E31AA0"/>
    <w:rsid w:val="00E6382D"/>
    <w:rsid w:val="00E67C7F"/>
    <w:rsid w:val="00E71BDD"/>
    <w:rsid w:val="00E774DA"/>
    <w:rsid w:val="00E846FA"/>
    <w:rsid w:val="00E848F9"/>
    <w:rsid w:val="00E87E92"/>
    <w:rsid w:val="00E909E8"/>
    <w:rsid w:val="00E9613B"/>
    <w:rsid w:val="00E96D08"/>
    <w:rsid w:val="00EA2FB5"/>
    <w:rsid w:val="00EA5176"/>
    <w:rsid w:val="00EA76E8"/>
    <w:rsid w:val="00EB7B58"/>
    <w:rsid w:val="00EC0111"/>
    <w:rsid w:val="00EF0C5C"/>
    <w:rsid w:val="00F04B4F"/>
    <w:rsid w:val="00F068B8"/>
    <w:rsid w:val="00F35886"/>
    <w:rsid w:val="00F54D55"/>
    <w:rsid w:val="00F60AF6"/>
    <w:rsid w:val="00F743D4"/>
    <w:rsid w:val="00F91B9A"/>
    <w:rsid w:val="00F925D7"/>
    <w:rsid w:val="00F925EF"/>
    <w:rsid w:val="00F96093"/>
    <w:rsid w:val="00FA37A9"/>
    <w:rsid w:val="00FB5454"/>
    <w:rsid w:val="00FC068F"/>
    <w:rsid w:val="00FC5FCD"/>
    <w:rsid w:val="00FC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D5C2A9"/>
  <w15:docId w15:val="{230ABFBE-A85D-4CF3-A0B9-A95F3E1B6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6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 с булитами,Bullet List,FooterText,numbered,ТЗ список,Абзац списка литеральный,ПС - Нумерованный,Основной абзац"/>
    <w:basedOn w:val="a"/>
    <w:link w:val="a4"/>
    <w:uiPriority w:val="34"/>
    <w:qFormat/>
    <w:rsid w:val="00D46F5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52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2367"/>
  </w:style>
  <w:style w:type="paragraph" w:styleId="a7">
    <w:name w:val="footer"/>
    <w:basedOn w:val="a"/>
    <w:link w:val="a8"/>
    <w:uiPriority w:val="99"/>
    <w:unhideWhenUsed/>
    <w:rsid w:val="00C52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2367"/>
  </w:style>
  <w:style w:type="paragraph" w:styleId="a9">
    <w:name w:val="Balloon Text"/>
    <w:basedOn w:val="a"/>
    <w:link w:val="aa"/>
    <w:uiPriority w:val="99"/>
    <w:semiHidden/>
    <w:unhideWhenUsed/>
    <w:rsid w:val="001B14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B1402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0C0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0C0728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8B6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f"/>
    <w:qFormat/>
    <w:rsid w:val="00D05BEC"/>
    <w:pPr>
      <w:spacing w:after="0" w:line="240" w:lineRule="auto"/>
    </w:pPr>
  </w:style>
  <w:style w:type="character" w:customStyle="1" w:styleId="af">
    <w:name w:val="Без интервала Знак"/>
    <w:link w:val="ae"/>
    <w:uiPriority w:val="1"/>
    <w:locked/>
    <w:rsid w:val="00D05BEC"/>
  </w:style>
  <w:style w:type="paragraph" w:customStyle="1" w:styleId="Default">
    <w:name w:val="Default"/>
    <w:rsid w:val="00DD1106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paragraph" w:customStyle="1" w:styleId="font8">
    <w:name w:val="font_8"/>
    <w:basedOn w:val="a"/>
    <w:rsid w:val="00B95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Revision"/>
    <w:hidden/>
    <w:uiPriority w:val="99"/>
    <w:semiHidden/>
    <w:rsid w:val="0077718A"/>
    <w:pPr>
      <w:spacing w:after="0" w:line="240" w:lineRule="auto"/>
    </w:pPr>
  </w:style>
  <w:style w:type="character" w:customStyle="1" w:styleId="jsgrdq">
    <w:name w:val="jsgrdq"/>
    <w:basedOn w:val="a0"/>
    <w:rsid w:val="008167E6"/>
  </w:style>
  <w:style w:type="character" w:customStyle="1" w:styleId="1">
    <w:name w:val="Неразрешенное упоминание1"/>
    <w:basedOn w:val="a0"/>
    <w:uiPriority w:val="99"/>
    <w:semiHidden/>
    <w:unhideWhenUsed/>
    <w:rsid w:val="00F60AF6"/>
    <w:rPr>
      <w:color w:val="605E5C"/>
      <w:shd w:val="clear" w:color="auto" w:fill="E1DFDD"/>
    </w:rPr>
  </w:style>
  <w:style w:type="character" w:customStyle="1" w:styleId="BoldText">
    <w:name w:val="BoldText"/>
    <w:basedOn w:val="a0"/>
    <w:uiPriority w:val="15"/>
    <w:qFormat/>
    <w:rsid w:val="008067EB"/>
    <w:rPr>
      <w:b/>
    </w:rPr>
  </w:style>
  <w:style w:type="character" w:customStyle="1" w:styleId="msoins0">
    <w:name w:val="msoins"/>
    <w:basedOn w:val="a0"/>
    <w:rsid w:val="00535310"/>
    <w:rPr>
      <w:color w:val="008080"/>
      <w:u w:val="single"/>
    </w:rPr>
  </w:style>
  <w:style w:type="character" w:customStyle="1" w:styleId="a4">
    <w:name w:val="Абзац списка Знак"/>
    <w:aliases w:val="Список с булитами Знак,Bullet List Знак,FooterText Знак,numbered Знак,ТЗ список Знак,Абзац списка литеральный Знак,ПС - Нумерованный Знак,Основной абзац Знак"/>
    <w:link w:val="a3"/>
    <w:uiPriority w:val="34"/>
    <w:locked/>
    <w:rsid w:val="00430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322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17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83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16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15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63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visitugra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tv.ru/peredacha/poedem_poedim/m24320/o74926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meste.wildberries.ru/adventure/regions/khanty-mansiiskii_avtonomnyi_okrug_-_iugra_83_8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zen.ru/visitugr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.me/visitugr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6ACE1-3013-4855-A497-47D1B6BB7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3625</Words>
  <Characters>20669</Characters>
  <Application>Microsoft Office Word</Application>
  <DocSecurity>4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f24</dc:creator>
  <cp:lastModifiedBy>f41</cp:lastModifiedBy>
  <cp:revision>2</cp:revision>
  <cp:lastPrinted>2024-04-02T07:08:00Z</cp:lastPrinted>
  <dcterms:created xsi:type="dcterms:W3CDTF">2024-04-02T09:27:00Z</dcterms:created>
  <dcterms:modified xsi:type="dcterms:W3CDTF">2024-04-02T09:27:00Z</dcterms:modified>
</cp:coreProperties>
</file>